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2DA59" w14:textId="77777777" w:rsidR="00F941E7" w:rsidRDefault="000E608F">
      <w:pPr>
        <w:spacing w:after="322" w:line="259" w:lineRule="auto"/>
        <w:ind w:right="8"/>
        <w:jc w:val="center"/>
      </w:pPr>
      <w:r>
        <w:rPr>
          <w:b/>
        </w:rPr>
        <w:t xml:space="preserve">Resolução do Conselho de Ministros n.º 107/2020 </w:t>
      </w:r>
    </w:p>
    <w:p w14:paraId="794F39EE" w14:textId="77777777" w:rsidR="00F941E7" w:rsidRDefault="000E608F">
      <w:pPr>
        <w:spacing w:after="322" w:line="259" w:lineRule="auto"/>
        <w:ind w:right="3"/>
        <w:jc w:val="center"/>
      </w:pPr>
      <w:r>
        <w:rPr>
          <w:b/>
        </w:rPr>
        <w:t xml:space="preserve">Critérios seguidos na sua execução </w:t>
      </w:r>
    </w:p>
    <w:p w14:paraId="6F6E691A" w14:textId="77777777" w:rsidR="00F941E7" w:rsidRDefault="000E608F">
      <w:pPr>
        <w:spacing w:after="321" w:line="259" w:lineRule="auto"/>
        <w:ind w:left="61" w:firstLine="0"/>
        <w:jc w:val="center"/>
      </w:pPr>
      <w:r>
        <w:rPr>
          <w:b/>
        </w:rPr>
        <w:t xml:space="preserve"> </w:t>
      </w:r>
    </w:p>
    <w:p w14:paraId="79C2FE35" w14:textId="77777777" w:rsidR="00F941E7" w:rsidRDefault="000E608F">
      <w:pPr>
        <w:spacing w:after="321" w:line="259" w:lineRule="auto"/>
        <w:ind w:left="61" w:firstLine="0"/>
        <w:jc w:val="center"/>
      </w:pPr>
      <w:r>
        <w:rPr>
          <w:b/>
        </w:rPr>
        <w:t xml:space="preserve"> </w:t>
      </w:r>
    </w:p>
    <w:p w14:paraId="489F2985" w14:textId="77777777" w:rsidR="00F941E7" w:rsidRDefault="000E608F">
      <w:pPr>
        <w:ind w:left="-5" w:right="-6"/>
      </w:pPr>
      <w:r>
        <w:t xml:space="preserve">1) A Resolução do Conselho de Ministros n.º 107/2020, de 14 de dezembro, </w:t>
      </w:r>
      <w:r>
        <w:t xml:space="preserve">atribuiu à Provedora de Justiça a incumbência de determinar o valor e termos da indemnização devida pela morte de </w:t>
      </w:r>
      <w:proofErr w:type="spellStart"/>
      <w:r>
        <w:t>Ihor</w:t>
      </w:r>
      <w:proofErr w:type="spellEnd"/>
      <w:r>
        <w:t xml:space="preserve"> </w:t>
      </w:r>
      <w:proofErr w:type="spellStart"/>
      <w:r>
        <w:t>Homeniuk</w:t>
      </w:r>
      <w:proofErr w:type="spellEnd"/>
      <w:r>
        <w:t>, cidadão ucraniano, ocorrida em 12 de março de 2020, no espaço equiparado a Centro de Instalação Temporária do Aeroporto Humbert</w:t>
      </w:r>
      <w:r>
        <w:t xml:space="preserve">o Delgado, em Lisboa. </w:t>
      </w:r>
    </w:p>
    <w:p w14:paraId="1D08AD4F" w14:textId="77777777" w:rsidR="00F941E7" w:rsidRDefault="000E608F">
      <w:pPr>
        <w:ind w:left="-5" w:right="-6"/>
      </w:pPr>
      <w:r>
        <w:t>Para cumprimento desta incumbência e uma vez recebida e analisada a informação pertinente, a Provedora de Justiça procedeu de acordo com o enquadramento construído para o tratamento de processos da mesma natureza, realizado em anos r</w:t>
      </w:r>
      <w:r>
        <w:t xml:space="preserve">ecentes. </w:t>
      </w:r>
    </w:p>
    <w:p w14:paraId="70ED68F1" w14:textId="77777777" w:rsidR="00F941E7" w:rsidRDefault="000E608F">
      <w:pPr>
        <w:ind w:left="-5" w:right="-6"/>
      </w:pPr>
      <w:r>
        <w:t>Por isso mesmo, foram seguidos os critérios estabelecidos no Anexo ao Despacho n.º 10496-A/2017, de 30 de novembro, tudo nos termos complementados por decisão genérica da Provedora de Justiça.</w:t>
      </w:r>
      <w:r>
        <w:rPr>
          <w:vertAlign w:val="superscript"/>
        </w:rPr>
        <w:footnoteReference w:id="1"/>
      </w:r>
      <w:r>
        <w:t xml:space="preserve"> </w:t>
      </w:r>
    </w:p>
    <w:p w14:paraId="5EDFDD0F" w14:textId="77777777" w:rsidR="00F941E7" w:rsidRDefault="000E608F">
      <w:pPr>
        <w:ind w:left="-5" w:right="-6"/>
      </w:pPr>
      <w:r>
        <w:t>Apesar de no texto da Resolução do Conselho de Min</w:t>
      </w:r>
      <w:r>
        <w:t>istros n.º 107/2020 apenas ser individualizada a situação da viúva e filhos da vítima, entendeu a Provedora de Justiça que o espírito daquela acolhia a proteção de situações particularmente gravosas como a do(s) progenitor(</w:t>
      </w:r>
      <w:proofErr w:type="spellStart"/>
      <w:r>
        <w:t>es</w:t>
      </w:r>
      <w:proofErr w:type="spellEnd"/>
      <w:r>
        <w:t xml:space="preserve">) da vítima, neste caso apenas </w:t>
      </w:r>
      <w:r>
        <w:t xml:space="preserve">do pai por decesso anterior da mãe, de igual modo à semelhança do que sucedeu em casos análogos. </w:t>
      </w:r>
    </w:p>
    <w:p w14:paraId="4D307DDD" w14:textId="77777777" w:rsidR="00F941E7" w:rsidRDefault="000E608F">
      <w:pPr>
        <w:ind w:left="-5" w:right="-6"/>
      </w:pPr>
      <w:r>
        <w:t xml:space="preserve">Foi feita distinção entre danos próprios da vítima e danos diretamente produzidos na esfera dos familiares identificados. </w:t>
      </w:r>
    </w:p>
    <w:p w14:paraId="585952F6" w14:textId="77777777" w:rsidR="00F941E7" w:rsidRDefault="000E608F">
      <w:pPr>
        <w:spacing w:after="267"/>
        <w:ind w:left="-5" w:right="-6"/>
      </w:pPr>
      <w:r>
        <w:lastRenderedPageBreak/>
        <w:t>2) Para cálculo dos primeiros, na s</w:t>
      </w:r>
      <w:r>
        <w:t xml:space="preserve">equência de critério sempre mantido sobre a idêntica dignidade de toda a vida humana, foi estabelecido para o dano causado pela sua perda o mesmo valor antes fixado. </w:t>
      </w:r>
    </w:p>
    <w:p w14:paraId="75D092BD" w14:textId="77777777" w:rsidR="00F941E7" w:rsidRDefault="000E608F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6869550" wp14:editId="241B1E0B">
                <wp:extent cx="1829054" cy="9144"/>
                <wp:effectExtent l="0" t="0" r="0" b="0"/>
                <wp:docPr id="1632" name="Group 16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9054" cy="9144"/>
                          <a:chOff x="0" y="0"/>
                          <a:chExt cx="1829054" cy="9144"/>
                        </a:xfrm>
                      </wpg:grpSpPr>
                      <wps:wsp>
                        <wps:cNvPr id="1980" name="Shape 1980"/>
                        <wps:cNvSpPr/>
                        <wps:spPr>
                          <a:xfrm>
                            <a:off x="0" y="0"/>
                            <a:ext cx="18290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9054" h="9144">
                                <a:moveTo>
                                  <a:pt x="0" y="0"/>
                                </a:moveTo>
                                <a:lnTo>
                                  <a:pt x="1829054" y="0"/>
                                </a:lnTo>
                                <a:lnTo>
                                  <a:pt x="18290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txbx>
                          <w:txbxContent>
                            <w:p w14:paraId="59F8EA25" w14:textId="77777777" w:rsidR="00E21620" w:rsidRDefault="00E21620" w:rsidP="00E21620">
                              <w:pPr>
                                <w:ind w:left="0"/>
                                <w:jc w:val="center"/>
                              </w:pPr>
                            </w:p>
                          </w:txbxContent>
                        </wps:txbx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869550" id="Group 1632" o:spid="_x0000_s1026" style="width:2in;height:.7pt;mso-position-horizontal-relative:char;mso-position-vertical-relative:line" coordsize="1829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">
                <v:shape id="Shape 1980" o:spid="_x0000_s1027" style="position:absolute;width:18290;height:91;visibility:visible;mso-wrap-style:square;v-text-anchor:top" coordsize="1829054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" adj="-11796480,,5400" path="m,l1829054,r,9144l,9144,,e" fillcolor="black" stroked="f" strokeweight="0">
                  <v:stroke miterlimit="83231f" joinstyle="miter"/>
                  <v:formulas/>
                  <v:path arrowok="t" o:connecttype="custom" textboxrect="0,0,1829054,9144"/>
                  <v:textbox>
                    <w:txbxContent>
                      <w:p w14:paraId="59F8EA25" w14:textId="77777777" w:rsidR="00E21620" w:rsidRDefault="00E21620" w:rsidP="00E21620">
                        <w:pPr>
                          <w:ind w:left="0"/>
                          <w:jc w:val="center"/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 xml:space="preserve"> </w:t>
      </w:r>
    </w:p>
    <w:p w14:paraId="5D9A41A9" w14:textId="77777777" w:rsidR="00F941E7" w:rsidRDefault="000E608F">
      <w:pPr>
        <w:ind w:left="-5" w:right="-6"/>
      </w:pPr>
      <w:r>
        <w:t>Para além da perda da vida, foi fixado, igualmente no quadro conceptual delimitado par</w:t>
      </w:r>
      <w:r>
        <w:t xml:space="preserve">a situações similares pregressas, um valor correspondente ao sofrimento suportado pela vítima antes da morte. </w:t>
      </w:r>
    </w:p>
    <w:p w14:paraId="01D5EAE8" w14:textId="77777777" w:rsidR="00F941E7" w:rsidRDefault="000E608F">
      <w:pPr>
        <w:ind w:left="-5" w:right="-6"/>
      </w:pPr>
      <w:r>
        <w:t>Sem tomar como definitiva a descrição de factos que cabe ao tribunal competente esclarecer, o que se conheceu permitiu considerar o sofrimento se</w:t>
      </w:r>
      <w:r>
        <w:t xml:space="preserve">ntido como extremamente intenso, dando-se particular relevância ao tempo decorrido até à morte e à circunstância de a vítima se encontrar à guarda da autoridade pública, por isso sendo presumivelmente maior a falta de esperança num socorro oportuno. </w:t>
      </w:r>
    </w:p>
    <w:p w14:paraId="06A17916" w14:textId="77777777" w:rsidR="00F941E7" w:rsidRDefault="000E608F">
      <w:pPr>
        <w:ind w:left="-5" w:right="-6"/>
      </w:pPr>
      <w:r>
        <w:t>Tal c</w:t>
      </w:r>
      <w:r>
        <w:t xml:space="preserve">onduziu a uma valoração especialmente forte do montante atinente ao sofrimento </w:t>
      </w:r>
      <w:r>
        <w:rPr>
          <w:i/>
        </w:rPr>
        <w:t xml:space="preserve">ante </w:t>
      </w:r>
      <w:proofErr w:type="spellStart"/>
      <w:r>
        <w:rPr>
          <w:i/>
        </w:rPr>
        <w:t>mortem</w:t>
      </w:r>
      <w:proofErr w:type="spellEnd"/>
      <w:r>
        <w:t xml:space="preserve">. </w:t>
      </w:r>
    </w:p>
    <w:p w14:paraId="7BAEFA50" w14:textId="77777777" w:rsidR="00F941E7" w:rsidRDefault="000E608F">
      <w:pPr>
        <w:ind w:left="-5" w:right="-6"/>
      </w:pPr>
      <w:r>
        <w:t xml:space="preserve">A soma destes valores foi paga aos herdeiros da vítima, segundo a lei aplicável, que é a da República da Ucrânia, e de acordo com a sua participação na herança. </w:t>
      </w:r>
    </w:p>
    <w:p w14:paraId="02C5BE2D" w14:textId="77777777" w:rsidR="00F941E7" w:rsidRDefault="000E608F">
      <w:pPr>
        <w:spacing w:after="321" w:line="259" w:lineRule="auto"/>
        <w:ind w:left="0" w:firstLine="0"/>
        <w:jc w:val="left"/>
      </w:pPr>
      <w:r>
        <w:t xml:space="preserve"> </w:t>
      </w:r>
    </w:p>
    <w:p w14:paraId="771D76EC" w14:textId="77777777" w:rsidR="00F941E7" w:rsidRDefault="000E608F">
      <w:pPr>
        <w:ind w:left="-5" w:right="-6"/>
      </w:pPr>
      <w:r>
        <w:t>3) Para o cálculo dos danos não patrimoniais próprios, considerou-</w:t>
      </w:r>
      <w:r>
        <w:t>se como relevante a qualidade de cônjuge, filho ou pai da vítima, a todos atribuindo indemnização, cujo valor, uma vez mais tendo enquadramento nos critérios antes praticados, tomou em especial conta as circunstâncias conhecidas da morte. Neste sentido, di</w:t>
      </w:r>
      <w:r>
        <w:t xml:space="preserve">stinguiu-se apenas a situação da viúva e filhos, integrando o mesmo agregado familiar, marcando essa diferença por uma majoração de 12%. </w:t>
      </w:r>
    </w:p>
    <w:p w14:paraId="40682CE1" w14:textId="77777777" w:rsidR="00F941E7" w:rsidRDefault="000E608F">
      <w:pPr>
        <w:ind w:left="-5" w:right="-6"/>
      </w:pPr>
      <w:r>
        <w:t>No que se refere a danos patrimoniais, seguiram-se os critérios atrás indicados, em especial no que se refere aos n.ºs</w:t>
      </w:r>
      <w:r>
        <w:t xml:space="preserve"> 4.3 e 4.4 do Anexo ao Despacho n.º 10496-A/2017, de 30 de novembro. </w:t>
      </w:r>
    </w:p>
    <w:p w14:paraId="778E88EE" w14:textId="77777777" w:rsidR="00F941E7" w:rsidRDefault="000E608F">
      <w:pPr>
        <w:ind w:left="-5" w:right="-6"/>
      </w:pPr>
      <w:r>
        <w:t xml:space="preserve">Isso conduziu ao cálculo do contributo material da vítima para as despesas familiares, procedendo-se à reconstituição do agregado familiar no horizonte ditado pela </w:t>
      </w:r>
      <w:r>
        <w:lastRenderedPageBreak/>
        <w:t>esperança média de vid</w:t>
      </w:r>
      <w:r>
        <w:t xml:space="preserve">a da viúva e pelas vicissitudes futuras no percurso dos filhos, na sua autonomização. </w:t>
      </w:r>
    </w:p>
    <w:p w14:paraId="32280075" w14:textId="77777777" w:rsidR="00F941E7" w:rsidRDefault="000E608F">
      <w:pPr>
        <w:ind w:left="-5" w:right="-6"/>
      </w:pPr>
      <w:r>
        <w:t xml:space="preserve">De acordo com esses cálculos, foi estabelecida uma quantia, a ser desde já paga à viúva e a cada filho, neste caso calculada até à respetiva maioridade. </w:t>
      </w:r>
    </w:p>
    <w:p w14:paraId="43A654DB" w14:textId="77777777" w:rsidR="00F941E7" w:rsidRDefault="000E608F">
      <w:pPr>
        <w:ind w:left="-5" w:right="-6"/>
      </w:pPr>
      <w:r>
        <w:t>Tal como sucede</w:t>
      </w:r>
      <w:r>
        <w:t>u em anteriores processos, previu-se a possibilidade de os filhos prosseguirem estudos ou formação profissional para além dos 18 anos. Nesse caso, será devida renda anual, com o limite do ano em que se complete 28 anos. Previu-se a possibilidade de, não se</w:t>
      </w:r>
      <w:r>
        <w:t xml:space="preserve">ndo devida total ou parcialmente esta renda, dever ser recalculado o dano patrimonial do remanescente do agregado familiar da vítima, com reforço da renda ou do capital devidos, consoante o caso. </w:t>
      </w:r>
    </w:p>
    <w:p w14:paraId="5F1232EB" w14:textId="77777777" w:rsidR="00F941E7" w:rsidRDefault="000E608F">
      <w:pPr>
        <w:ind w:left="-5" w:right="-6"/>
      </w:pPr>
      <w:r>
        <w:t>Por fim, foram ressarcidas as despesas comprovadas com a tr</w:t>
      </w:r>
      <w:r>
        <w:t xml:space="preserve">asladação do corpo da vítima. </w:t>
      </w:r>
    </w:p>
    <w:p w14:paraId="583847A6" w14:textId="77777777" w:rsidR="00F941E7" w:rsidRDefault="000E608F">
      <w:pPr>
        <w:spacing w:after="321" w:line="259" w:lineRule="auto"/>
        <w:ind w:left="0" w:firstLine="0"/>
        <w:jc w:val="left"/>
      </w:pPr>
      <w:r>
        <w:t xml:space="preserve"> </w:t>
      </w:r>
    </w:p>
    <w:p w14:paraId="022182D3" w14:textId="77777777" w:rsidR="00F941E7" w:rsidRDefault="000E608F">
      <w:pPr>
        <w:ind w:left="-5" w:right="-6"/>
      </w:pPr>
      <w:r>
        <w:t xml:space="preserve">4) Tendo em conta o afastamento geográfico e o facto da execução desta Decisão, no limite, se poder prolongar até 2039, foram ainda especificados procedimentos para facilitar o seu cumprimento. </w:t>
      </w:r>
    </w:p>
    <w:p w14:paraId="5AA4921F" w14:textId="77777777" w:rsidR="00F941E7" w:rsidRDefault="000E608F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F941E7">
      <w:footnotePr>
        <w:numRestart w:val="eachPage"/>
      </w:footnotePr>
      <w:pgSz w:w="11906" w:h="16838"/>
      <w:pgMar w:top="1470" w:right="1698" w:bottom="1416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B28E8" w14:textId="77777777" w:rsidR="000E608F" w:rsidRDefault="000E608F">
      <w:pPr>
        <w:spacing w:after="0" w:line="240" w:lineRule="auto"/>
      </w:pPr>
      <w:r>
        <w:separator/>
      </w:r>
    </w:p>
  </w:endnote>
  <w:endnote w:type="continuationSeparator" w:id="0">
    <w:p w14:paraId="6C7503D3" w14:textId="77777777" w:rsidR="000E608F" w:rsidRDefault="000E6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57C97" w14:textId="77777777" w:rsidR="000E608F" w:rsidRDefault="000E608F">
      <w:pPr>
        <w:spacing w:after="0" w:line="259" w:lineRule="auto"/>
        <w:ind w:left="0" w:firstLine="0"/>
        <w:jc w:val="left"/>
      </w:pPr>
      <w:r>
        <w:separator/>
      </w:r>
    </w:p>
  </w:footnote>
  <w:footnote w:type="continuationSeparator" w:id="0">
    <w:p w14:paraId="41A52C39" w14:textId="77777777" w:rsidR="000E608F" w:rsidRDefault="000E608F">
      <w:pPr>
        <w:spacing w:after="0" w:line="259" w:lineRule="auto"/>
        <w:ind w:left="0" w:firstLine="0"/>
        <w:jc w:val="left"/>
      </w:pPr>
      <w:r>
        <w:continuationSeparator/>
      </w:r>
    </w:p>
  </w:footnote>
  <w:footnote w:id="1">
    <w:p w14:paraId="15732B1A" w14:textId="77777777" w:rsidR="00F941E7" w:rsidRPr="00E21620" w:rsidRDefault="000E608F">
      <w:pPr>
        <w:pStyle w:val="footnotedescription"/>
        <w:rPr>
          <w:lang w:val="en-GB"/>
        </w:rPr>
      </w:pPr>
      <w:r>
        <w:rPr>
          <w:rStyle w:val="footnotemark"/>
        </w:rPr>
        <w:footnoteRef/>
      </w:r>
      <w:r w:rsidRPr="00E21620">
        <w:rPr>
          <w:lang w:val="en-GB"/>
        </w:rPr>
        <w:t xml:space="preserve"> </w:t>
      </w:r>
      <w:r w:rsidRPr="00E21620">
        <w:rPr>
          <w:lang w:val="en-GB"/>
        </w:rPr>
        <w:t xml:space="preserve">Cf. http://www.provedor-jus.pt/site/public/archive/doc/fundamentacao-t__2_.pdf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1E7"/>
    <w:rsid w:val="000E608F"/>
    <w:rsid w:val="00136C8E"/>
    <w:rsid w:val="00E21620"/>
    <w:rsid w:val="00F9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6A904E"/>
  <w15:docId w15:val="{9CDAFDE9-22BB-45A8-89C5-96EF7C16F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3" w:line="356" w:lineRule="auto"/>
      <w:ind w:left="10" w:hanging="10"/>
      <w:jc w:val="both"/>
    </w:pPr>
    <w:rPr>
      <w:rFonts w:ascii="Garamond" w:eastAsia="Garamond" w:hAnsi="Garamond" w:cs="Garamond"/>
      <w:color w:val="000000"/>
      <w:sz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ootnotedescription">
    <w:name w:val="footnote description"/>
    <w:next w:val="Normal"/>
    <w:link w:val="footnotedescriptionChar"/>
    <w:hidden/>
    <w:pPr>
      <w:spacing w:after="0"/>
    </w:pPr>
    <w:rPr>
      <w:rFonts w:ascii="Garamond" w:eastAsia="Garamond" w:hAnsi="Garamond" w:cs="Garamond"/>
      <w:color w:val="000000"/>
    </w:rPr>
  </w:style>
  <w:style w:type="character" w:customStyle="1" w:styleId="footnotedescriptionChar">
    <w:name w:val="footnote description Char"/>
    <w:link w:val="footnotedescription"/>
    <w:rPr>
      <w:rFonts w:ascii="Garamond" w:eastAsia="Garamond" w:hAnsi="Garamond" w:cs="Garamond"/>
      <w:color w:val="000000"/>
      <w:sz w:val="22"/>
    </w:rPr>
  </w:style>
  <w:style w:type="character" w:customStyle="1" w:styleId="footnotemark">
    <w:name w:val="footnote mark"/>
    <w:hidden/>
    <w:rPr>
      <w:rFonts w:ascii="Garamond" w:eastAsia="Garamond" w:hAnsi="Garamond" w:cs="Garamond"/>
      <w:color w:val="000000"/>
      <w:sz w:val="22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  <FIELD type="AdditionalFields" label="Idade_LCCD" source-type="AdditionalFields">
        <TAG><![CDATA[#NOVOREGISTO:CA:Idade_LCCD#]]></TAG>
        <VALUE><![CDATA[#NOVOREGISTO:CA:Idade_LCCD#]]></VALUE>
        <XPATH><![CDATA[/CARD/FIELDS/FIELD[FIELD='Idade_LCCD']/VALUE]]></XPATH>
      </FIELD>
      <FIELD type="AdditionalFields" label="Nome_Interes" source-type="AdditionalFields">
        <TAG><![CDATA[#NOVOREGISTO:CA:Nome_Interes#]]></TAG>
        <VALUE><![CDATA[#NOVOREGISTO:CA:Nome_Interes#]]></VALUE>
        <XPATH><![CDATA[/CARD/FIELDS/FIELD[FIELD='Nome_Interes']/VALUE]]></XPATH>
      </FIELD>
      <FIELD type="AdditionalFields" label="Sintese" source-type="AdditionalFields">
        <TAG><![CDATA[#NOVOREGISTO:CA:Sintese#]]></TAG>
        <VALUE><![CDATA[#NOVOREGISTO:CA:Sintese#]]></VALUE>
        <XPATH><![CDATA[/CARD/FIELDS/FIELD[FIELD='Sintese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6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tny33//A/p84D92pLKUAAAAAElFTkSuQmCC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  <FIELD type="AdditionalFields" label="Idade_LCCD" source-type="AdditionalFields">
        <TAG><![CDATA[#PRIMEIROREGISTO:CA:Idade_LCCD#]]></TAG>
        <VALUE><![CDATA[#PRIMEIROREGISTO:CA:Idade_LCCD#]]></VALUE>
        <XPATH><![CDATA[/CARD/FIELDS/FIELD[NAME='Idade_LCCD']/VALUE]]></XPATH>
      </FIELD>
      <FIELD type="AdditionalFields" label="Nome_Interes" source-type="AdditionalFields">
        <TAG><![CDATA[#PRIMEIROREGISTO:CA:Nome_Interes#]]></TAG>
        <VALUE><![CDATA[#PRIMEIROREGISTO:CA:Nome_Interes#]]></VALUE>
        <XPATH><![CDATA[/CARD/FIELDS/FIELD[NAME='Nome_Interes']/VALUE]]></XPATH>
      </FIELD>
      <FIELD type="AdditionalFields" label="Sintese" source-type="AdditionalFields">
        <TAG><![CDATA[#PRIMEIROREGISTO:CA:Sintese#]]></TAG>
        <VALUE><![CDATA[#PRIMEIROREGISTO:CA:Sintese#]]></VALUE>
        <XPATH><![CDATA[/CARD/FIELDS/FIELD[NAME='Sintese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  <FIELD type="AdditionalFields" label="Idade_LCCD" source-type="AdditionalFields">
        <TAG><![CDATA[#PRIMEIROPROCESSO:CA:Idade_LCCD#]]></TAG>
        <VALUE><![CDATA[#PRIMEIROPROCESSO:CA:Idade_LCCD#]]></VALUE>
        <XPATH><![CDATA[/CARD/FIELDS/FIELD[NAME='Idade_LCCD']/VALUE]]></XPATH>
      </FIELD>
      <FIELD type="AdditionalFields" label="Nome_Interes" source-type="AdditionalFields">
        <TAG><![CDATA[#PRIMEIROPROCESSO:CA:Nome_Interes#]]></TAG>
        <VALUE><![CDATA[#PRIMEIROPROCESSO:CA:Nome_Interes#]]></VALUE>
        <XPATH><![CDATA[/CARD/FIELDS/FIELD[NAME='Nome_Interes']/VALUE]]></XPATH>
      </FIELD>
      <FIELD type="AdditionalFields" label="Sintese" source-type="AdditionalFields">
        <TAG><![CDATA[#PRIMEIROPROCESSO:CA:Sintese#]]></TAG>
        <VALUE><![CDATA[#PRIMEIROPROCESSO:CA:Sintese#]]></VALUE>
        <XPATH><![CDATA[/CARD/FIELDS/FIELD[NAME='Sintese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S/79938LTcrDCfNWgA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  <FIELD type="AdditionalFields" label="Idade_LCCD" source-type="AdditionalFields">
        <TAG><![CDATA[#REGISTO:CA:Idade_LCCD#]]></TAG>
        <VALUE><![CDATA[#REGISTO:CA:Idade_LCCD#]]></VALUE>
        <XPATH><![CDATA[/CARD/FIELDS/FIELD[NAME='Idade_LCCD']/VALUE]]></XPATH>
      </FIELD>
      <FIELD type="AdditionalFields" label="Nome_Interes" source-type="AdditionalFields">
        <TAG><![CDATA[#REGISTO:CA:Nome_Interes#]]></TAG>
        <VALUE><![CDATA[#REGISTO:CA:Nome_Interes#]]></VALUE>
        <XPATH><![CDATA[/CARD/FIELDS/FIELD[NAME='Nome_Interes']/VALUE]]></XPATH>
      </FIELD>
      <FIELD type="AdditionalFields" label="Sintese" source-type="AdditionalFields">
        <TAG><![CDATA[#REGISTO:CA:Sintese#]]></TAG>
        <VALUE><![CDATA[#REGISTO:CA:Sintese#]]></VALUE>
        <XPATH><![CDATA[/CARD/FIELDS/FIELD[NAME='Sintese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  <FIELD type="AdditionalFields" label="Idade_LCCD" source-type="AdditionalFields">
        <TAG><![CDATA[#CONTEXTPROCESS:CA:Idade_LCCD#]]></TAG>
        <VALUE><![CDATA[Idade_LCCD]]></VALUE>
        <XPATH><![CDATA[/PROCESS/FIELDS/FIELD[NAME='Idade_LCCD']/VALUE]]></XPATH>
      </FIELD>
      <FIELD type="AdditionalFields" label="Nome_Interes" source-type="AdditionalFields">
        <TAG><![CDATA[#CONTEXTPROCESS:CA:Nome_Interes#]]></TAG>
        <VALUE><![CDATA[Nome_Interes]]></VALUE>
        <XPATH><![CDATA[/PROCESS/FIELDS/FIELD[NAME='Nome_Interes']/VALUE]]></XPATH>
      </FIELD>
      <FIELD type="AdditionalFields" label="Sintese" source-type="AdditionalFields">
        <TAG><![CDATA[#CONTEXTPROCESS:CA:Sintese#]]></TAG>
        <VALUE><![CDATA[Sintese]]></VALUE>
        <XPATH><![CDATA[/PROCESS/FIELDS/FIELD[NAME='Sintese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Props1.xml><?xml version="1.0" encoding="utf-8"?>
<ds:datastoreItem xmlns:ds="http://schemas.openxmlformats.org/officeDocument/2006/customXml" ds:itemID="{3FD3CE86-BCDD-4000-8172-507D8A83D5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671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Gaspar</dc:creator>
  <cp:keywords/>
  <cp:lastModifiedBy>Eva Gaspar</cp:lastModifiedBy>
  <cp:revision>2</cp:revision>
  <cp:lastPrinted>2021-07-20T16:19:00Z</cp:lastPrinted>
  <dcterms:created xsi:type="dcterms:W3CDTF">2021-07-20T16:20:00Z</dcterms:created>
  <dcterms:modified xsi:type="dcterms:W3CDTF">2021-07-20T16:20:00Z</dcterms:modified>
</cp:coreProperties>
</file>