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3B1B0" w14:textId="77777777" w:rsidR="00A70FC2" w:rsidRPr="002071A1" w:rsidRDefault="00A70FC2" w:rsidP="00A70FC2">
      <w:pPr>
        <w:spacing w:after="200" w:line="360" w:lineRule="auto"/>
        <w:rPr>
          <w:rFonts w:ascii="Cambria" w:eastAsia="Calibri" w:hAnsi="Cambria" w:cs="Times New Roman"/>
          <w:b/>
          <w:bCs/>
          <w:sz w:val="36"/>
          <w:szCs w:val="36"/>
        </w:rPr>
      </w:pPr>
      <w:r w:rsidRPr="002071A1">
        <w:rPr>
          <w:rFonts w:ascii="Cambria" w:eastAsia="Calibri" w:hAnsi="Cambria" w:cs="Times New Roman"/>
          <w:b/>
          <w:bCs/>
          <w:sz w:val="36"/>
          <w:szCs w:val="36"/>
        </w:rPr>
        <w:t>Se o seu caso se enquadra num</w:t>
      </w:r>
      <w:r>
        <w:rPr>
          <w:rFonts w:ascii="Cambria" w:eastAsia="Calibri" w:hAnsi="Cambria" w:cs="Times New Roman"/>
          <w:b/>
          <w:bCs/>
          <w:sz w:val="36"/>
          <w:szCs w:val="36"/>
        </w:rPr>
        <w:t xml:space="preserve"> </w:t>
      </w:r>
      <w:r w:rsidRPr="00195BA2">
        <w:rPr>
          <w:rFonts w:ascii="Cambria" w:eastAsia="Calibri" w:hAnsi="Cambria" w:cs="Times New Roman"/>
          <w:b/>
          <w:bCs/>
          <w:sz w:val="36"/>
          <w:szCs w:val="36"/>
        </w:rPr>
        <w:t>destes domínios,</w:t>
      </w:r>
      <w:r w:rsidRPr="002071A1">
        <w:rPr>
          <w:rFonts w:ascii="Cambria" w:eastAsia="Calibri" w:hAnsi="Cambria" w:cs="Times New Roman"/>
          <w:b/>
          <w:bCs/>
          <w:sz w:val="36"/>
          <w:szCs w:val="36"/>
        </w:rPr>
        <w:t xml:space="preserve"> </w:t>
      </w:r>
      <w:r>
        <w:rPr>
          <w:rFonts w:ascii="Cambria" w:eastAsia="Calibri" w:hAnsi="Cambria" w:cs="Times New Roman"/>
          <w:b/>
          <w:bCs/>
          <w:sz w:val="36"/>
          <w:szCs w:val="36"/>
        </w:rPr>
        <w:t>veja</w:t>
      </w:r>
      <w:r w:rsidRPr="002071A1">
        <w:rPr>
          <w:rFonts w:ascii="Cambria" w:eastAsia="Calibri" w:hAnsi="Cambria" w:cs="Times New Roman"/>
          <w:b/>
          <w:bCs/>
          <w:sz w:val="36"/>
          <w:szCs w:val="36"/>
        </w:rPr>
        <w:t xml:space="preserve"> aqui algumas entidades </w:t>
      </w:r>
      <w:r>
        <w:rPr>
          <w:rFonts w:ascii="Cambria" w:eastAsia="Calibri" w:hAnsi="Cambria" w:cs="Times New Roman"/>
          <w:b/>
          <w:bCs/>
          <w:sz w:val="36"/>
          <w:szCs w:val="36"/>
        </w:rPr>
        <w:t xml:space="preserve">que </w:t>
      </w:r>
      <w:r w:rsidRPr="002071A1">
        <w:rPr>
          <w:rFonts w:ascii="Cambria" w:eastAsia="Calibri" w:hAnsi="Cambria" w:cs="Times New Roman"/>
          <w:b/>
          <w:bCs/>
          <w:sz w:val="36"/>
          <w:szCs w:val="36"/>
        </w:rPr>
        <w:t>o podem ajudar</w:t>
      </w:r>
      <w:r>
        <w:rPr>
          <w:rFonts w:ascii="Cambria" w:eastAsia="Calibri" w:hAnsi="Cambria" w:cs="Times New Roman"/>
          <w:b/>
          <w:bCs/>
          <w:sz w:val="36"/>
          <w:szCs w:val="36"/>
        </w:rPr>
        <w:t>.</w:t>
      </w:r>
    </w:p>
    <w:p w14:paraId="1E64698F" w14:textId="77777777" w:rsidR="00A70FC2" w:rsidRPr="002071A1" w:rsidRDefault="00A70FC2" w:rsidP="00A70FC2">
      <w:pPr>
        <w:spacing w:after="200" w:line="276" w:lineRule="auto"/>
        <w:jc w:val="center"/>
        <w:rPr>
          <w:rFonts w:ascii="Cambria" w:eastAsia="Calibri" w:hAnsi="Cambria" w:cs="Times New Roman"/>
          <w:sz w:val="24"/>
          <w:szCs w:val="24"/>
        </w:rPr>
      </w:pPr>
    </w:p>
    <w:p w14:paraId="0D324468" w14:textId="77777777" w:rsidR="00A70FC2" w:rsidRPr="00195BA2" w:rsidRDefault="00A70FC2" w:rsidP="00A70FC2">
      <w:pPr>
        <w:numPr>
          <w:ilvl w:val="0"/>
          <w:numId w:val="1"/>
        </w:numPr>
        <w:pBdr>
          <w:top w:val="single" w:sz="24" w:space="1" w:color="C00000"/>
          <w:left w:val="single" w:sz="24" w:space="4" w:color="C00000"/>
          <w:bottom w:val="single" w:sz="24" w:space="1" w:color="C00000"/>
          <w:right w:val="single" w:sz="24" w:space="0" w:color="C00000"/>
        </w:pBdr>
        <w:shd w:val="clear" w:color="auto" w:fill="F2DBDB"/>
        <w:spacing w:after="200" w:line="480" w:lineRule="auto"/>
        <w:contextualSpacing/>
        <w:jc w:val="both"/>
        <w:rPr>
          <w:rFonts w:ascii="Cambria" w:eastAsia="Calibri" w:hAnsi="Cambria" w:cs="Times New Roman"/>
          <w:b/>
          <w:bCs/>
          <w:color w:val="C0504D"/>
          <w:sz w:val="36"/>
          <w:szCs w:val="36"/>
        </w:rPr>
      </w:pPr>
      <w:bookmarkStart w:id="0" w:name="_Hlk109406988"/>
      <w:r w:rsidRPr="00195BA2"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>Relações de consumo</w:t>
      </w:r>
    </w:p>
    <w:bookmarkEnd w:id="0"/>
    <w:p w14:paraId="5C76F8C3" w14:textId="77777777" w:rsidR="00A70FC2" w:rsidRPr="002071A1" w:rsidRDefault="00A70FC2" w:rsidP="00A70FC2">
      <w:pPr>
        <w:spacing w:after="200" w:line="276" w:lineRule="auto"/>
        <w:rPr>
          <w:rFonts w:ascii="Cambria" w:eastAsia="Calibri" w:hAnsi="Cambria" w:cs="Times New Roman"/>
          <w:b/>
          <w:bCs/>
          <w:sz w:val="24"/>
          <w:szCs w:val="24"/>
        </w:rPr>
      </w:pPr>
    </w:p>
    <w:p w14:paraId="5B322668" w14:textId="77777777" w:rsidR="00A70FC2" w:rsidRPr="002071A1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ascii="Cambria" w:eastAsia="Calibri" w:hAnsi="Cambria" w:cstheme="minorHAnsi"/>
          <w:b/>
          <w:bCs/>
          <w:sz w:val="24"/>
          <w:szCs w:val="24"/>
        </w:rPr>
      </w:pPr>
      <w:r w:rsidRPr="002071A1">
        <w:rPr>
          <w:rFonts w:ascii="Cambria" w:eastAsia="Calibri" w:hAnsi="Cambria" w:cs="Times New Roman"/>
          <w:b/>
          <w:bCs/>
          <w:i/>
          <w:iCs/>
          <w:sz w:val="24"/>
          <w:szCs w:val="24"/>
        </w:rPr>
        <w:t>O Provedor de Justiça não intervém</w:t>
      </w:r>
      <w:r>
        <w:rPr>
          <w:rFonts w:ascii="Cambria" w:eastAsia="Calibri" w:hAnsi="Cambria" w:cs="Times New Roman"/>
          <w:b/>
          <w:bCs/>
          <w:i/>
          <w:iCs/>
          <w:sz w:val="24"/>
          <w:szCs w:val="24"/>
        </w:rPr>
        <w:t>, por regra,</w:t>
      </w:r>
      <w:r w:rsidRPr="002071A1">
        <w:rPr>
          <w:rFonts w:ascii="Cambria" w:eastAsia="Calibri" w:hAnsi="Cambria" w:cs="Times New Roman"/>
          <w:b/>
          <w:bCs/>
          <w:i/>
          <w:iCs/>
          <w:sz w:val="24"/>
          <w:szCs w:val="24"/>
        </w:rPr>
        <w:t xml:space="preserve"> no âmbito de conflitos de consum</w:t>
      </w:r>
      <w:r>
        <w:rPr>
          <w:rFonts w:ascii="Cambria" w:eastAsia="Calibri" w:hAnsi="Cambria" w:cs="Times New Roman"/>
          <w:b/>
          <w:bCs/>
          <w:i/>
          <w:iCs/>
          <w:sz w:val="24"/>
          <w:szCs w:val="24"/>
        </w:rPr>
        <w:t>o.</w:t>
      </w:r>
    </w:p>
    <w:p w14:paraId="2DF84E41" w14:textId="77777777" w:rsidR="00A70FC2" w:rsidRDefault="00A70FC2" w:rsidP="00A70FC2">
      <w:r w:rsidRPr="00003149">
        <w:rPr>
          <w:rFonts w:ascii="Cambria" w:hAnsi="Cambria"/>
          <w:b/>
          <w:bCs/>
          <w:sz w:val="24"/>
          <w:szCs w:val="24"/>
        </w:rPr>
        <w:t>Água, resíduos e saneamento</w:t>
      </w:r>
    </w:p>
    <w:p w14:paraId="29DEF1BA" w14:textId="77777777" w:rsidR="00A70FC2" w:rsidRPr="00A6749F" w:rsidRDefault="00A70FC2" w:rsidP="00A70FC2">
      <w:pPr>
        <w:pStyle w:val="PargrafodaLista"/>
        <w:numPr>
          <w:ilvl w:val="0"/>
          <w:numId w:val="1"/>
        </w:numPr>
        <w:rPr>
          <w:rFonts w:ascii="Cambria" w:hAnsi="Cambria"/>
          <w:sz w:val="24"/>
          <w:szCs w:val="24"/>
        </w:rPr>
      </w:pPr>
      <w:hyperlink r:id="rId6" w:history="1">
        <w:r w:rsidRPr="00A6749F">
          <w:rPr>
            <w:rStyle w:val="Hiperligao"/>
            <w:rFonts w:ascii="Cambria" w:hAnsi="Cambria"/>
            <w:sz w:val="24"/>
            <w:szCs w:val="24"/>
          </w:rPr>
          <w:t>ERSAR – Entidade Reguladora dos Serviços de Águas e Resíduos.</w:t>
        </w:r>
      </w:hyperlink>
      <w:r w:rsidRPr="00A6749F">
        <w:rPr>
          <w:rFonts w:ascii="Cambria" w:hAnsi="Cambria"/>
          <w:sz w:val="24"/>
          <w:szCs w:val="24"/>
        </w:rPr>
        <w:t xml:space="preserve"> Tem por missão a regulação e a supervisão dos setores de abastecimento público de água às populações, de saneamento de águas residuais urbanas e de gestão de resíduos sólidos urbanos, incluindo o exercício de funções de autoridade competente para a coordenação e a fiscalização do regime da qualidade da água para consumo humano. </w:t>
      </w:r>
    </w:p>
    <w:p w14:paraId="68EC2570" w14:textId="77777777" w:rsidR="00A70FC2" w:rsidRPr="00A6749F" w:rsidRDefault="00A70FC2" w:rsidP="00A70FC2">
      <w:pPr>
        <w:pStyle w:val="PargrafodaLista"/>
        <w:numPr>
          <w:ilvl w:val="0"/>
          <w:numId w:val="1"/>
        </w:numPr>
        <w:rPr>
          <w:rFonts w:ascii="Cambria" w:hAnsi="Cambria"/>
          <w:sz w:val="24"/>
          <w:szCs w:val="24"/>
        </w:rPr>
      </w:pPr>
      <w:hyperlink r:id="rId7" w:history="1">
        <w:proofErr w:type="gramStart"/>
        <w:r w:rsidRPr="00A6749F">
          <w:rPr>
            <w:rStyle w:val="Hiperligao"/>
            <w:rFonts w:ascii="Cambria" w:hAnsi="Cambria"/>
            <w:sz w:val="24"/>
            <w:szCs w:val="24"/>
          </w:rPr>
          <w:t>ERSARA  –</w:t>
        </w:r>
        <w:proofErr w:type="gramEnd"/>
        <w:r w:rsidRPr="00A6749F">
          <w:rPr>
            <w:rStyle w:val="Hiperligao"/>
            <w:rFonts w:ascii="Cambria" w:hAnsi="Cambria"/>
            <w:sz w:val="24"/>
            <w:szCs w:val="24"/>
          </w:rPr>
          <w:t xml:space="preserve"> Entidade Reguladora dos Serviços de Águas e Resíduos d</w:t>
        </w:r>
        <w:r>
          <w:rPr>
            <w:rStyle w:val="Hiperligao"/>
            <w:rFonts w:ascii="Cambria" w:hAnsi="Cambria"/>
            <w:sz w:val="24"/>
            <w:szCs w:val="24"/>
          </w:rPr>
          <w:t>os</w:t>
        </w:r>
        <w:r w:rsidRPr="00A6749F">
          <w:rPr>
            <w:rStyle w:val="Hiperligao"/>
            <w:rFonts w:ascii="Cambria" w:hAnsi="Cambria"/>
            <w:sz w:val="24"/>
            <w:szCs w:val="24"/>
          </w:rPr>
          <w:t xml:space="preserve"> Açores</w:t>
        </w:r>
      </w:hyperlink>
      <w:r w:rsidRPr="00A6749F">
        <w:rPr>
          <w:rFonts w:ascii="Cambria" w:hAnsi="Cambria"/>
          <w:sz w:val="24"/>
          <w:szCs w:val="24"/>
        </w:rPr>
        <w:t xml:space="preserve"> </w:t>
      </w:r>
    </w:p>
    <w:p w14:paraId="466534B8" w14:textId="77777777" w:rsidR="00A70FC2" w:rsidRDefault="00A70FC2" w:rsidP="00A70FC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Eletricidade e gás </w:t>
      </w:r>
    </w:p>
    <w:p w14:paraId="33A45A6D" w14:textId="77777777" w:rsidR="00A70FC2" w:rsidRPr="00A6749F" w:rsidRDefault="00A70FC2" w:rsidP="00A70FC2">
      <w:pPr>
        <w:pStyle w:val="PargrafodaLista"/>
        <w:numPr>
          <w:ilvl w:val="0"/>
          <w:numId w:val="1"/>
        </w:numPr>
        <w:rPr>
          <w:rFonts w:ascii="Cambria" w:hAnsi="Cambria"/>
          <w:sz w:val="24"/>
          <w:szCs w:val="24"/>
        </w:rPr>
      </w:pPr>
      <w:hyperlink r:id="rId8" w:history="1">
        <w:r w:rsidRPr="00A6749F">
          <w:rPr>
            <w:rStyle w:val="Hiperligao"/>
            <w:rFonts w:ascii="Cambria" w:hAnsi="Cambria"/>
            <w:sz w:val="24"/>
            <w:szCs w:val="24"/>
          </w:rPr>
          <w:t>ERSE – Entidade Reguladora dos Serviços Energéticos.</w:t>
        </w:r>
      </w:hyperlink>
      <w:r w:rsidRPr="00A6749F">
        <w:rPr>
          <w:rFonts w:ascii="Cambria" w:hAnsi="Cambria"/>
          <w:sz w:val="24"/>
          <w:szCs w:val="24"/>
        </w:rPr>
        <w:t xml:space="preserve"> Entidade responsável pela regulação dos setores do gás natural, da eletricidade e do gás de petróleo liquefeito (GPL) em todas as suas categorias, dos combustíveis derivados do petróleo e dos biocombustíveis, bem como da atividade de gestão de operações da rede de mobilidade elétrica. </w:t>
      </w:r>
    </w:p>
    <w:p w14:paraId="432DCA6F" w14:textId="77777777" w:rsidR="00A70FC2" w:rsidRDefault="00A70FC2" w:rsidP="00A70FC2">
      <w:pPr>
        <w:rPr>
          <w:rFonts w:ascii="Cambria" w:hAnsi="Cambria"/>
          <w:b/>
          <w:bCs/>
          <w:sz w:val="24"/>
          <w:szCs w:val="24"/>
        </w:rPr>
      </w:pPr>
      <w:r w:rsidRPr="00181E8B">
        <w:rPr>
          <w:rFonts w:ascii="Cambria" w:hAnsi="Cambria"/>
          <w:b/>
          <w:bCs/>
          <w:sz w:val="24"/>
          <w:szCs w:val="24"/>
        </w:rPr>
        <w:t>Telefones, comunicações eletrónicas e serviços postais</w:t>
      </w:r>
    </w:p>
    <w:p w14:paraId="4EBBDF10" w14:textId="77777777" w:rsidR="00A70FC2" w:rsidRPr="00A6749F" w:rsidRDefault="00A70FC2" w:rsidP="00A70FC2">
      <w:pPr>
        <w:pStyle w:val="PargrafodaLista"/>
        <w:numPr>
          <w:ilvl w:val="0"/>
          <w:numId w:val="1"/>
        </w:numPr>
        <w:rPr>
          <w:rFonts w:ascii="Cambria" w:hAnsi="Cambria"/>
          <w:sz w:val="24"/>
          <w:szCs w:val="24"/>
        </w:rPr>
      </w:pPr>
      <w:hyperlink r:id="rId9" w:history="1">
        <w:r w:rsidRPr="00A6749F">
          <w:rPr>
            <w:rStyle w:val="Hiperligao"/>
            <w:rFonts w:ascii="Cambria" w:hAnsi="Cambria"/>
            <w:sz w:val="24"/>
            <w:szCs w:val="24"/>
          </w:rPr>
          <w:t>ANACOM – Autoridade Nacional de Comunicações</w:t>
        </w:r>
      </w:hyperlink>
      <w:r>
        <w:rPr>
          <w:rFonts w:ascii="Cambria" w:hAnsi="Cambria"/>
          <w:sz w:val="24"/>
          <w:szCs w:val="24"/>
        </w:rPr>
        <w:t xml:space="preserve">. </w:t>
      </w:r>
      <w:r w:rsidRPr="00A6749F">
        <w:rPr>
          <w:rFonts w:ascii="Cambria" w:hAnsi="Cambria"/>
          <w:sz w:val="24"/>
          <w:szCs w:val="24"/>
        </w:rPr>
        <w:t>Presta informação, orientação e apoio aos consumidores e demais utilizadores finais e promove a resolução extrajudicial de conflitos entre estes e as entidades sujeitas à sua regulação; aprecia queixas ou reclamações de que tome conhecimento no exercício das suas funções</w:t>
      </w:r>
      <w:r>
        <w:rPr>
          <w:rFonts w:ascii="Cambria" w:hAnsi="Cambria"/>
          <w:sz w:val="24"/>
          <w:szCs w:val="24"/>
        </w:rPr>
        <w:t>.</w:t>
      </w:r>
    </w:p>
    <w:p w14:paraId="18694161" w14:textId="77777777" w:rsidR="00A70FC2" w:rsidRPr="00A6749F" w:rsidRDefault="00A70FC2" w:rsidP="00A70FC2">
      <w:pPr>
        <w:rPr>
          <w:rFonts w:ascii="Cambria" w:hAnsi="Cambria"/>
          <w:sz w:val="24"/>
          <w:szCs w:val="24"/>
          <w:highlight w:val="yellow"/>
        </w:rPr>
      </w:pPr>
      <w:hyperlink r:id="rId10" w:history="1">
        <w:r w:rsidRPr="00A6749F">
          <w:rPr>
            <w:rStyle w:val="Hiperligao"/>
            <w:rFonts w:ascii="Cambria" w:hAnsi="Cambria"/>
            <w:sz w:val="24"/>
            <w:szCs w:val="24"/>
          </w:rPr>
          <w:t>Livro de Reclamações Eletrónico</w:t>
        </w:r>
      </w:hyperlink>
      <w:r>
        <w:rPr>
          <w:rFonts w:ascii="Cambria" w:hAnsi="Cambria"/>
          <w:sz w:val="24"/>
          <w:szCs w:val="24"/>
        </w:rPr>
        <w:t xml:space="preserve">. </w:t>
      </w:r>
      <w:r w:rsidRPr="00A6749F">
        <w:rPr>
          <w:rFonts w:ascii="Cambria" w:hAnsi="Cambria"/>
          <w:color w:val="272B30"/>
          <w:sz w:val="24"/>
          <w:szCs w:val="24"/>
          <w:shd w:val="clear" w:color="auto" w:fill="FFFFFF"/>
        </w:rPr>
        <w:t>Também disponível no formato físico, pode ser utilizado por qualquer consumidor ou utente.</w:t>
      </w:r>
    </w:p>
    <w:p w14:paraId="18FDF48B" w14:textId="77777777" w:rsidR="00A70FC2" w:rsidRDefault="00A70FC2" w:rsidP="00A70FC2">
      <w:pPr>
        <w:rPr>
          <w:rFonts w:ascii="Cambria" w:hAnsi="Cambria"/>
          <w:sz w:val="24"/>
          <w:szCs w:val="24"/>
        </w:rPr>
      </w:pPr>
      <w:hyperlink r:id="rId11" w:history="1">
        <w:r w:rsidRPr="00A6749F">
          <w:rPr>
            <w:rStyle w:val="Hiperligao"/>
            <w:rFonts w:ascii="Cambria" w:hAnsi="Cambria"/>
            <w:sz w:val="24"/>
            <w:szCs w:val="24"/>
          </w:rPr>
          <w:t>Direção-Geral do Consumidor</w:t>
        </w:r>
      </w:hyperlink>
      <w:r w:rsidRPr="00EE2293">
        <w:rPr>
          <w:rFonts w:ascii="Cambria" w:hAnsi="Cambria"/>
          <w:sz w:val="24"/>
          <w:szCs w:val="24"/>
        </w:rPr>
        <w:t>. Tem por missão contribuir para a elaboração, definição e execução da política de defesa do consumidor.</w:t>
      </w:r>
    </w:p>
    <w:bookmarkStart w:id="1" w:name="_Hlk116401995"/>
    <w:p w14:paraId="619B24DA" w14:textId="77777777" w:rsidR="00A70FC2" w:rsidRPr="00A6749F" w:rsidRDefault="00A70FC2" w:rsidP="00A70FC2">
      <w:pPr>
        <w:rPr>
          <w:rFonts w:ascii="Cambria" w:hAnsi="Cambria"/>
          <w:sz w:val="24"/>
          <w:szCs w:val="24"/>
        </w:rPr>
      </w:pPr>
      <w:r w:rsidRPr="00A6749F">
        <w:rPr>
          <w:rFonts w:ascii="Cambria" w:hAnsi="Cambria"/>
          <w:sz w:val="24"/>
          <w:szCs w:val="24"/>
        </w:rPr>
        <w:fldChar w:fldCharType="begin"/>
      </w:r>
      <w:r w:rsidRPr="00A6749F">
        <w:rPr>
          <w:rFonts w:ascii="Cambria" w:hAnsi="Cambria"/>
          <w:sz w:val="24"/>
          <w:szCs w:val="24"/>
        </w:rPr>
        <w:instrText xml:space="preserve"> HYPERLINK "https://www.madeira.gov.pt/dras/Estrutura/DRAS/Contactos/ctl/Read/mid/13200/InformacaoId/124934/UnidadeOrganicaId/35/CatalogoId/0" </w:instrText>
      </w:r>
      <w:r w:rsidRPr="00A6749F">
        <w:rPr>
          <w:rFonts w:ascii="Cambria" w:hAnsi="Cambria"/>
          <w:sz w:val="24"/>
          <w:szCs w:val="24"/>
        </w:rPr>
      </w:r>
      <w:r w:rsidRPr="00A6749F">
        <w:rPr>
          <w:rFonts w:ascii="Cambria" w:hAnsi="Cambria"/>
          <w:sz w:val="24"/>
          <w:szCs w:val="24"/>
        </w:rPr>
        <w:fldChar w:fldCharType="separate"/>
      </w:r>
      <w:bookmarkEnd w:id="1"/>
      <w:r w:rsidRPr="00A6749F">
        <w:rPr>
          <w:rStyle w:val="Hiperligao"/>
          <w:rFonts w:ascii="Cambria" w:hAnsi="Cambria"/>
          <w:sz w:val="24"/>
          <w:szCs w:val="24"/>
        </w:rPr>
        <w:t>Direção de Serviços do Consumido</w:t>
      </w:r>
      <w:r>
        <w:rPr>
          <w:rStyle w:val="Hiperligao"/>
          <w:rFonts w:ascii="Cambria" w:hAnsi="Cambria"/>
          <w:sz w:val="24"/>
          <w:szCs w:val="24"/>
        </w:rPr>
        <w:t xml:space="preserve">r </w:t>
      </w:r>
      <w:r w:rsidRPr="00A6749F">
        <w:rPr>
          <w:rStyle w:val="Hiperligao"/>
          <w:rFonts w:ascii="Cambria" w:hAnsi="Cambria"/>
          <w:sz w:val="24"/>
          <w:szCs w:val="24"/>
        </w:rPr>
        <w:t>–</w:t>
      </w:r>
      <w:r>
        <w:rPr>
          <w:rStyle w:val="Hiperligao"/>
          <w:rFonts w:ascii="Cambria" w:hAnsi="Cambria"/>
          <w:sz w:val="24"/>
          <w:szCs w:val="24"/>
        </w:rPr>
        <w:t xml:space="preserve"> </w:t>
      </w:r>
      <w:r w:rsidRPr="00A6749F">
        <w:rPr>
          <w:rStyle w:val="Hiperligao"/>
          <w:rFonts w:ascii="Cambria" w:hAnsi="Cambria"/>
          <w:sz w:val="24"/>
          <w:szCs w:val="24"/>
        </w:rPr>
        <w:t xml:space="preserve">Região Autónoma da Madeira </w:t>
      </w:r>
      <w:r w:rsidRPr="00A6749F">
        <w:rPr>
          <w:rFonts w:ascii="Cambria" w:hAnsi="Cambria"/>
          <w:sz w:val="24"/>
          <w:szCs w:val="24"/>
        </w:rPr>
        <w:fldChar w:fldCharType="end"/>
      </w:r>
    </w:p>
    <w:p w14:paraId="17E1AD6B" w14:textId="77777777" w:rsidR="00A70FC2" w:rsidRPr="00A6749F" w:rsidRDefault="00A70FC2" w:rsidP="00A70FC2">
      <w:pPr>
        <w:rPr>
          <w:rFonts w:ascii="Cambria" w:hAnsi="Cambria"/>
          <w:sz w:val="24"/>
          <w:szCs w:val="24"/>
        </w:rPr>
      </w:pPr>
      <w:hyperlink r:id="rId12" w:history="1">
        <w:r w:rsidRPr="00A6749F">
          <w:rPr>
            <w:rStyle w:val="Hiperligao"/>
            <w:rFonts w:ascii="Cambria" w:hAnsi="Cambria"/>
            <w:sz w:val="24"/>
            <w:szCs w:val="24"/>
          </w:rPr>
          <w:t>CACCRAM – Centro de Arbitragem de Conflitos de Consumo da Região Autónoma da Madeira</w:t>
        </w:r>
      </w:hyperlink>
      <w:r w:rsidRPr="00A6749F">
        <w:rPr>
          <w:rFonts w:ascii="Cambria" w:hAnsi="Cambria"/>
          <w:sz w:val="24"/>
          <w:szCs w:val="24"/>
        </w:rPr>
        <w:t>. Entidade pública regional competente para dirimir conflitos de consumo originados na aquisição de bens e serviços no território da RAM, dentro da sua esfera de competência, através de meios extrajudiciais como a conciliação e a arbitragem.</w:t>
      </w:r>
    </w:p>
    <w:p w14:paraId="47C69CC4" w14:textId="77777777" w:rsidR="00A70FC2" w:rsidRPr="00A6749F" w:rsidRDefault="00A70FC2" w:rsidP="00A70FC2">
      <w:pPr>
        <w:rPr>
          <w:rFonts w:ascii="Cambria" w:hAnsi="Cambria"/>
          <w:sz w:val="24"/>
          <w:szCs w:val="24"/>
        </w:rPr>
      </w:pPr>
      <w:hyperlink r:id="rId13" w:history="1">
        <w:r w:rsidRPr="00A6749F">
          <w:rPr>
            <w:rStyle w:val="Hiperligao"/>
            <w:rFonts w:ascii="Cambria" w:hAnsi="Cambria"/>
            <w:sz w:val="24"/>
            <w:szCs w:val="24"/>
          </w:rPr>
          <w:t>ASAE – Autoridade de Segurança Alimentar e Económica</w:t>
        </w:r>
      </w:hyperlink>
      <w:r w:rsidRPr="00A6749F">
        <w:rPr>
          <w:rFonts w:ascii="Cambria" w:hAnsi="Cambria"/>
          <w:sz w:val="24"/>
          <w:szCs w:val="24"/>
        </w:rPr>
        <w:t>. Autoridade administrativa nacional especializada no âmbito da segurança alimentar e da fiscalização económica.</w:t>
      </w:r>
    </w:p>
    <w:p w14:paraId="2978DC34" w14:textId="77777777" w:rsidR="00A70FC2" w:rsidRPr="00A6749F" w:rsidRDefault="00A70FC2" w:rsidP="00A70FC2">
      <w:pPr>
        <w:rPr>
          <w:rFonts w:ascii="Cambria" w:hAnsi="Cambria"/>
          <w:sz w:val="24"/>
          <w:szCs w:val="24"/>
        </w:rPr>
      </w:pPr>
      <w:hyperlink r:id="rId14" w:history="1">
        <w:r w:rsidRPr="00A6749F">
          <w:rPr>
            <w:rStyle w:val="Hiperligao"/>
            <w:rFonts w:ascii="Cambria" w:hAnsi="Cambria"/>
            <w:sz w:val="24"/>
            <w:szCs w:val="24"/>
          </w:rPr>
          <w:t>ARAE – Autoridade Regional das Atividades Económicas</w:t>
        </w:r>
        <w:r>
          <w:rPr>
            <w:rStyle w:val="Hiperligao"/>
            <w:rFonts w:ascii="Cambria" w:hAnsi="Cambria"/>
            <w:sz w:val="24"/>
            <w:szCs w:val="24"/>
          </w:rPr>
          <w:t xml:space="preserve"> </w:t>
        </w:r>
        <w:r w:rsidRPr="00A6749F">
          <w:rPr>
            <w:rStyle w:val="Hiperligao"/>
            <w:rFonts w:ascii="Cambria" w:hAnsi="Cambria"/>
            <w:sz w:val="24"/>
            <w:szCs w:val="24"/>
          </w:rPr>
          <w:t>– Região Autónoma da Madeira</w:t>
        </w:r>
      </w:hyperlink>
      <w:r w:rsidRPr="00A6749F">
        <w:rPr>
          <w:rFonts w:ascii="Cambria" w:hAnsi="Cambria"/>
          <w:sz w:val="24"/>
          <w:szCs w:val="24"/>
        </w:rPr>
        <w:t xml:space="preserve"> </w:t>
      </w:r>
    </w:p>
    <w:p w14:paraId="1CA477EE" w14:textId="77777777" w:rsidR="00A70FC2" w:rsidRPr="00A6749F" w:rsidRDefault="00A70FC2" w:rsidP="00A70FC2">
      <w:pPr>
        <w:rPr>
          <w:rFonts w:ascii="Cambria" w:hAnsi="Cambria"/>
          <w:sz w:val="24"/>
          <w:szCs w:val="24"/>
        </w:rPr>
      </w:pPr>
      <w:hyperlink r:id="rId15" w:history="1">
        <w:proofErr w:type="gramStart"/>
        <w:r w:rsidRPr="00A6749F">
          <w:rPr>
            <w:rStyle w:val="Hiperligao"/>
            <w:rFonts w:ascii="Cambria" w:hAnsi="Cambria"/>
            <w:sz w:val="24"/>
            <w:szCs w:val="24"/>
          </w:rPr>
          <w:t>IRAE  –</w:t>
        </w:r>
        <w:proofErr w:type="gramEnd"/>
        <w:r w:rsidRPr="00A6749F">
          <w:rPr>
            <w:rStyle w:val="Hiperligao"/>
            <w:rFonts w:ascii="Cambria" w:hAnsi="Cambria"/>
            <w:sz w:val="24"/>
            <w:szCs w:val="24"/>
          </w:rPr>
          <w:t xml:space="preserve"> Inspeção Regional da Atividades Económica</w:t>
        </w:r>
        <w:r>
          <w:rPr>
            <w:rStyle w:val="Hiperligao"/>
            <w:rFonts w:ascii="Cambria" w:hAnsi="Cambria"/>
            <w:sz w:val="24"/>
            <w:szCs w:val="24"/>
          </w:rPr>
          <w:t>s</w:t>
        </w:r>
        <w:r w:rsidRPr="00A6749F">
          <w:rPr>
            <w:rStyle w:val="Hiperligao"/>
          </w:rPr>
          <w:t xml:space="preserve"> – </w:t>
        </w:r>
        <w:r w:rsidRPr="00A6749F">
          <w:rPr>
            <w:rStyle w:val="Hiperligao"/>
            <w:rFonts w:ascii="Cambria" w:hAnsi="Cambria"/>
            <w:sz w:val="24"/>
            <w:szCs w:val="24"/>
          </w:rPr>
          <w:t>Região Autónoma dos Açores</w:t>
        </w:r>
      </w:hyperlink>
      <w:r w:rsidRPr="00A6749F">
        <w:rPr>
          <w:rFonts w:ascii="Cambria" w:hAnsi="Cambria"/>
          <w:sz w:val="24"/>
          <w:szCs w:val="24"/>
        </w:rPr>
        <w:t xml:space="preserve"> </w:t>
      </w:r>
    </w:p>
    <w:p w14:paraId="6C99B269" w14:textId="77777777" w:rsidR="00A70FC2" w:rsidRPr="00EE2293" w:rsidRDefault="00A70FC2" w:rsidP="00A70FC2">
      <w:pPr>
        <w:rPr>
          <w:rFonts w:ascii="Cambria" w:hAnsi="Cambria"/>
          <w:sz w:val="24"/>
          <w:szCs w:val="24"/>
        </w:rPr>
      </w:pPr>
      <w:hyperlink r:id="rId16" w:history="1">
        <w:r w:rsidRPr="00EE2293">
          <w:rPr>
            <w:rStyle w:val="Hiperligao"/>
            <w:rFonts w:ascii="Cambria" w:hAnsi="Cambria"/>
            <w:sz w:val="24"/>
            <w:szCs w:val="24"/>
          </w:rPr>
          <w:t>AdC – Autoridade da Concorrência</w:t>
        </w:r>
      </w:hyperlink>
      <w:r w:rsidRPr="00EE2293">
        <w:rPr>
          <w:rFonts w:ascii="Cambria" w:hAnsi="Cambria"/>
          <w:sz w:val="24"/>
          <w:szCs w:val="24"/>
        </w:rPr>
        <w:t xml:space="preserve">. Entidade administrativa independente, com poderes transversais sobre a economia portuguesa para a aplicação das regras de concorrência, em coordenação com as entidades reguladoras sectoriais. </w:t>
      </w:r>
    </w:p>
    <w:p w14:paraId="5F5E54E3" w14:textId="77777777" w:rsidR="00A70FC2" w:rsidRPr="00EE2293" w:rsidRDefault="00A70FC2" w:rsidP="00A70FC2">
      <w:pPr>
        <w:jc w:val="both"/>
        <w:rPr>
          <w:rFonts w:ascii="Cambria" w:hAnsi="Cambria"/>
          <w:sz w:val="24"/>
          <w:szCs w:val="24"/>
          <w:highlight w:val="yellow"/>
        </w:rPr>
      </w:pPr>
      <w:hyperlink r:id="rId17" w:history="1">
        <w:r w:rsidRPr="00EE2293">
          <w:rPr>
            <w:rStyle w:val="Hiperligao"/>
            <w:rFonts w:ascii="Cambria" w:hAnsi="Cambria"/>
            <w:sz w:val="24"/>
            <w:szCs w:val="24"/>
          </w:rPr>
          <w:t>Comissão Arbitral do Turismo de Portugal</w:t>
        </w:r>
      </w:hyperlink>
      <w:r w:rsidRPr="00EE2293">
        <w:rPr>
          <w:rFonts w:ascii="Cambria" w:hAnsi="Cambria"/>
          <w:sz w:val="24"/>
          <w:szCs w:val="24"/>
        </w:rPr>
        <w:t xml:space="preserve">. </w:t>
      </w:r>
      <w:r w:rsidRPr="00EE2293">
        <w:rPr>
          <w:rFonts w:ascii="Cambria" w:hAnsi="Cambria"/>
          <w:color w:val="000000"/>
          <w:sz w:val="24"/>
          <w:szCs w:val="24"/>
          <w:shd w:val="clear" w:color="auto" w:fill="FFFFFF"/>
        </w:rPr>
        <w:t>Entidade de resolução alternativa de litígios que aprecia os pedidos de acionamento do Fundo de Garantia de Viagens e Turismo.</w:t>
      </w:r>
    </w:p>
    <w:p w14:paraId="40EB7449" w14:textId="77777777" w:rsidR="00A70FC2" w:rsidRDefault="00A70FC2" w:rsidP="00A70FC2">
      <w:pPr>
        <w:jc w:val="both"/>
        <w:rPr>
          <w:rFonts w:ascii="Cambria" w:hAnsi="Cambria"/>
          <w:sz w:val="24"/>
          <w:szCs w:val="24"/>
        </w:rPr>
      </w:pPr>
      <w:hyperlink r:id="rId18" w:history="1">
        <w:r w:rsidRPr="00EE2293">
          <w:rPr>
            <w:rStyle w:val="Hiperligao"/>
            <w:rFonts w:ascii="Cambria" w:hAnsi="Cambria"/>
            <w:sz w:val="24"/>
            <w:szCs w:val="24"/>
          </w:rPr>
          <w:t>FGVT – Fundo de Garantia de Viagens e Turismo</w:t>
        </w:r>
      </w:hyperlink>
      <w:r w:rsidRPr="00EE2293">
        <w:rPr>
          <w:rFonts w:ascii="Cambria" w:hAnsi="Cambria"/>
          <w:sz w:val="24"/>
          <w:szCs w:val="24"/>
        </w:rPr>
        <w:t>. O FGVT responde solidariamente pelo pagamento dos créditos dos viajantes decorrentes do incumprimento de serviços contratados às agências de viagens e turismo</w:t>
      </w:r>
      <w:r w:rsidRPr="00EE2293">
        <w:rPr>
          <w:rFonts w:ascii="Muli" w:hAnsi="Muli"/>
          <w:color w:val="737373"/>
          <w:sz w:val="30"/>
          <w:szCs w:val="30"/>
          <w:shd w:val="clear" w:color="auto" w:fill="FFFFFF"/>
        </w:rPr>
        <w:t>.</w:t>
      </w:r>
    </w:p>
    <w:p w14:paraId="23D8FCF9" w14:textId="77777777" w:rsidR="00A70FC2" w:rsidRPr="004D49FE" w:rsidRDefault="00A70FC2" w:rsidP="00A70FC2">
      <w:pPr>
        <w:jc w:val="both"/>
        <w:rPr>
          <w:rFonts w:ascii="Cambria" w:hAnsi="Cambria"/>
          <w:sz w:val="24"/>
          <w:szCs w:val="24"/>
        </w:rPr>
      </w:pPr>
    </w:p>
    <w:p w14:paraId="566D97E0" w14:textId="77777777" w:rsidR="00A70FC2" w:rsidRPr="002071A1" w:rsidRDefault="00A70FC2" w:rsidP="00A70FC2">
      <w:pPr>
        <w:numPr>
          <w:ilvl w:val="0"/>
          <w:numId w:val="1"/>
        </w:numPr>
        <w:pBdr>
          <w:top w:val="single" w:sz="24" w:space="1" w:color="C00000"/>
          <w:left w:val="single" w:sz="24" w:space="4" w:color="C00000"/>
          <w:bottom w:val="single" w:sz="24" w:space="1" w:color="C00000"/>
          <w:right w:val="single" w:sz="24" w:space="0" w:color="C00000"/>
        </w:pBdr>
        <w:shd w:val="clear" w:color="auto" w:fill="F2DBDB"/>
        <w:spacing w:after="200" w:line="480" w:lineRule="auto"/>
        <w:contextualSpacing/>
        <w:jc w:val="both"/>
        <w:rPr>
          <w:rFonts w:ascii="Cambria" w:eastAsia="Calibri" w:hAnsi="Cambria" w:cs="Times New Roman"/>
          <w:b/>
          <w:bCs/>
          <w:color w:val="C0504D"/>
          <w:sz w:val="36"/>
          <w:szCs w:val="36"/>
        </w:rPr>
      </w:pPr>
      <w:r w:rsidRPr="002071A1"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>Relações de trabalho</w:t>
      </w:r>
    </w:p>
    <w:p w14:paraId="456847CA" w14:textId="77777777" w:rsidR="00A70FC2" w:rsidRPr="002071A1" w:rsidRDefault="00A70FC2" w:rsidP="00A70FC2">
      <w:pPr>
        <w:spacing w:line="480" w:lineRule="auto"/>
        <w:ind w:left="720"/>
        <w:contextualSpacing/>
        <w:jc w:val="both"/>
        <w:rPr>
          <w:rFonts w:ascii="Cambria" w:eastAsia="Calibri" w:hAnsi="Cambria" w:cs="Times New Roman"/>
          <w:b/>
          <w:bCs/>
          <w:color w:val="C0504D"/>
          <w:sz w:val="24"/>
          <w:szCs w:val="24"/>
        </w:rPr>
      </w:pPr>
    </w:p>
    <w:p w14:paraId="4C96DAF0" w14:textId="77777777" w:rsidR="00A70FC2" w:rsidRPr="002071A1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both"/>
        <w:rPr>
          <w:rFonts w:ascii="Cambria" w:eastAsia="Calibri" w:hAnsi="Cambria" w:cs="Calibri"/>
          <w:b/>
          <w:bCs/>
          <w:i/>
          <w:iCs/>
          <w:sz w:val="24"/>
          <w:szCs w:val="24"/>
        </w:rPr>
      </w:pPr>
      <w:bookmarkStart w:id="2" w:name="_Hlk109988783"/>
      <w:r w:rsidRPr="002071A1">
        <w:rPr>
          <w:rFonts w:ascii="Cambria" w:eastAsia="Calibri" w:hAnsi="Cambria" w:cs="Calibri"/>
          <w:b/>
          <w:bCs/>
          <w:i/>
          <w:iCs/>
          <w:sz w:val="24"/>
          <w:szCs w:val="24"/>
        </w:rPr>
        <w:t>O Provedor de Justiça não intervém</w:t>
      </w:r>
      <w:r>
        <w:rPr>
          <w:rFonts w:ascii="Cambria" w:eastAsia="Calibri" w:hAnsi="Cambria" w:cs="Calibri"/>
          <w:b/>
          <w:bCs/>
          <w:i/>
          <w:iCs/>
          <w:sz w:val="24"/>
          <w:szCs w:val="24"/>
        </w:rPr>
        <w:t>, por regra,</w:t>
      </w:r>
      <w:r w:rsidRPr="002071A1">
        <w:rPr>
          <w:rFonts w:ascii="Cambria" w:eastAsia="Calibri" w:hAnsi="Cambria" w:cs="Calibri"/>
          <w:b/>
          <w:bCs/>
          <w:i/>
          <w:iCs/>
          <w:sz w:val="24"/>
          <w:szCs w:val="24"/>
        </w:rPr>
        <w:t xml:space="preserve"> no âmbito de relações laborais do sector privado</w:t>
      </w:r>
      <w:bookmarkEnd w:id="2"/>
      <w:r>
        <w:rPr>
          <w:rFonts w:ascii="Cambria" w:eastAsia="Calibri" w:hAnsi="Cambria" w:cs="Calibri"/>
          <w:b/>
          <w:bCs/>
          <w:i/>
          <w:iCs/>
          <w:sz w:val="24"/>
          <w:szCs w:val="24"/>
        </w:rPr>
        <w:t>.</w:t>
      </w:r>
    </w:p>
    <w:p w14:paraId="5259F8C3" w14:textId="77777777" w:rsidR="00A70FC2" w:rsidRDefault="00A70FC2" w:rsidP="00A70FC2">
      <w:pPr>
        <w:spacing w:after="0" w:line="360" w:lineRule="auto"/>
        <w:jc w:val="right"/>
      </w:pPr>
    </w:p>
    <w:p w14:paraId="60A926EE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19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</w:rPr>
          <w:t>ACT – Autoridade para as Condições do Trabalho</w:t>
        </w:r>
      </w:hyperlink>
      <w:r w:rsidRPr="00EE2293">
        <w:rPr>
          <w:rFonts w:ascii="Cambria" w:eastAsia="Calibri" w:hAnsi="Cambria" w:cs="Calibri"/>
          <w:sz w:val="24"/>
          <w:szCs w:val="24"/>
        </w:rPr>
        <w:t xml:space="preserve">. Visa a promoção da melhoria das condições de trabalho através do controlo do cumprimento do normativo laboral no âmbito das relações laborais privadas e pela promoção da segurança e saúde no trabalho em todos os sectores de atividade, públicos e privados. </w:t>
      </w:r>
    </w:p>
    <w:p w14:paraId="54476D59" w14:textId="77777777" w:rsidR="00A70FC2" w:rsidRPr="00EE2293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20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</w:rPr>
          <w:t>CITE – Comissão para a Igualdade no Trabalho e no Emprego</w:t>
        </w:r>
      </w:hyperlink>
      <w:r w:rsidRPr="00EE2293">
        <w:rPr>
          <w:rFonts w:ascii="Cambria" w:eastAsia="Calibri" w:hAnsi="Cambria" w:cs="Calibri"/>
          <w:sz w:val="24"/>
          <w:szCs w:val="24"/>
        </w:rPr>
        <w:t xml:space="preserve">. Tem por missão prosseguir a igualdade e a não discriminação entre homens e mulheres nos setores privado, público e cooperativo. </w:t>
      </w:r>
    </w:p>
    <w:p w14:paraId="533AD6F5" w14:textId="77777777" w:rsidR="00A70FC2" w:rsidRPr="00EE2293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21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IEFP – Instituto do Emprego e Formação Profissional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Tem por missão promover a criação e a qualidade do emprego e combater o desemprego, através da execução de políticas ativas de emprego, nomeadamente de formação profissional. </w:t>
      </w:r>
    </w:p>
    <w:p w14:paraId="135556DD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22" w:history="1">
        <w:r w:rsidRPr="002F093A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Ministério Público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>.  Representa os trabalhadores, a pedido destes, nas ações judiciais em que sejam autores ou réus.</w:t>
      </w:r>
      <w:r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 </w:t>
      </w:r>
    </w:p>
    <w:p w14:paraId="4BF2184D" w14:textId="77777777" w:rsidR="00A70FC2" w:rsidRPr="004D49FE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</w:p>
    <w:p w14:paraId="219B2EC5" w14:textId="77777777" w:rsidR="00A70FC2" w:rsidRPr="002071A1" w:rsidRDefault="00A70FC2" w:rsidP="00A70FC2">
      <w:pPr>
        <w:numPr>
          <w:ilvl w:val="0"/>
          <w:numId w:val="1"/>
        </w:numPr>
        <w:pBdr>
          <w:top w:val="single" w:sz="24" w:space="1" w:color="C00000"/>
          <w:left w:val="single" w:sz="24" w:space="4" w:color="C00000"/>
          <w:bottom w:val="single" w:sz="24" w:space="1" w:color="C00000"/>
          <w:right w:val="single" w:sz="24" w:space="0" w:color="C00000"/>
        </w:pBdr>
        <w:shd w:val="clear" w:color="auto" w:fill="F2DBDB"/>
        <w:spacing w:after="200" w:line="480" w:lineRule="auto"/>
        <w:contextualSpacing/>
        <w:jc w:val="both"/>
        <w:rPr>
          <w:rFonts w:ascii="Cambria" w:eastAsia="Calibri" w:hAnsi="Cambria" w:cs="Times New Roman"/>
          <w:b/>
          <w:bCs/>
          <w:color w:val="C0504D"/>
          <w:sz w:val="36"/>
          <w:szCs w:val="36"/>
        </w:rPr>
      </w:pPr>
      <w:r w:rsidRPr="002071A1"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>Banca e seguradoras</w:t>
      </w:r>
    </w:p>
    <w:p w14:paraId="595E0B84" w14:textId="77777777" w:rsidR="00A70FC2" w:rsidRPr="002071A1" w:rsidRDefault="00A70FC2" w:rsidP="00A70FC2">
      <w:pPr>
        <w:shd w:val="clear" w:color="auto" w:fill="FFFFFF"/>
        <w:spacing w:after="150" w:line="276" w:lineRule="auto"/>
        <w:jc w:val="both"/>
        <w:rPr>
          <w:rFonts w:ascii="Cambria" w:eastAsia="Times New Roman" w:hAnsi="Cambria" w:cs="Calibri"/>
          <w:b/>
          <w:bCs/>
          <w:sz w:val="24"/>
          <w:szCs w:val="24"/>
          <w:lang w:eastAsia="pt-PT"/>
        </w:rPr>
      </w:pPr>
    </w:p>
    <w:p w14:paraId="07EC9987" w14:textId="77777777" w:rsidR="00A70FC2" w:rsidRPr="002071A1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76" w:lineRule="auto"/>
        <w:jc w:val="both"/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</w:pPr>
      <w:r w:rsidRPr="002071A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O Provedor de Justiça não interv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 xml:space="preserve">ém, por regra, </w:t>
      </w:r>
      <w:r w:rsidRPr="002071A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junto da banca privada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.</w:t>
      </w:r>
      <w:r w:rsidRPr="00FD72E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 xml:space="preserve"> 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 xml:space="preserve">Dada a sua </w:t>
      </w:r>
      <w:r w:rsidRPr="002071A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natureza pública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 xml:space="preserve">, pode </w:t>
      </w:r>
      <w:r w:rsidRPr="002071A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interv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ir</w:t>
      </w:r>
      <w:r w:rsidRPr="002071A1"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 xml:space="preserve"> junto da Caixa Geral de Depósitos</w:t>
      </w:r>
      <w:r>
        <w:rPr>
          <w:rFonts w:ascii="Cambria" w:eastAsia="Times New Roman" w:hAnsi="Cambria" w:cs="Calibri"/>
          <w:b/>
          <w:bCs/>
          <w:i/>
          <w:iCs/>
          <w:sz w:val="24"/>
          <w:szCs w:val="24"/>
          <w:lang w:eastAsia="pt-PT"/>
        </w:rPr>
        <w:t>.</w:t>
      </w:r>
    </w:p>
    <w:p w14:paraId="1ACA89F7" w14:textId="77777777" w:rsidR="00A70FC2" w:rsidRDefault="00A70FC2" w:rsidP="00A70FC2">
      <w:pPr>
        <w:spacing w:after="0" w:line="360" w:lineRule="auto"/>
        <w:jc w:val="both"/>
      </w:pPr>
    </w:p>
    <w:p w14:paraId="671B8BDD" w14:textId="77777777" w:rsidR="00A70FC2" w:rsidRPr="00EE2293" w:rsidRDefault="00A70FC2" w:rsidP="00A70FC2">
      <w:pPr>
        <w:spacing w:after="0" w:line="360" w:lineRule="auto"/>
        <w:jc w:val="both"/>
        <w:rPr>
          <w:rFonts w:ascii="Cambria" w:eastAsia="Calibri" w:hAnsi="Cambria" w:cs="Times New Roman"/>
          <w:sz w:val="24"/>
          <w:szCs w:val="24"/>
        </w:rPr>
      </w:pPr>
      <w:hyperlink r:id="rId23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</w:rPr>
          <w:t>ASF – Autoridade de Supervisão de Seguros e Fundos de Pensões</w:t>
        </w:r>
      </w:hyperlink>
      <w:r w:rsidRPr="00EE2293">
        <w:rPr>
          <w:rFonts w:ascii="Cambria" w:eastAsia="Calibri" w:hAnsi="Cambria" w:cs="Calibri"/>
          <w:sz w:val="24"/>
          <w:szCs w:val="24"/>
        </w:rPr>
        <w:t xml:space="preserve">. </w:t>
      </w:r>
      <w:r w:rsidRPr="00EE2293">
        <w:rPr>
          <w:rFonts w:ascii="Cambria" w:eastAsia="Calibri" w:hAnsi="Cambria" w:cs="Times New Roman"/>
          <w:sz w:val="24"/>
          <w:szCs w:val="24"/>
        </w:rPr>
        <w:t xml:space="preserve">Responsável pela regulação e supervisão da atividade seguradora, resseguradora, dos fundos de pensões e respetivas entidades gestoras e da mediação de seguros.  O utente pode apresentar a sua </w:t>
      </w:r>
      <w:hyperlink r:id="rId24" w:history="1">
        <w:r w:rsidRPr="00EE2293">
          <w:rPr>
            <w:rStyle w:val="Hiperligao"/>
            <w:rFonts w:ascii="Cambria" w:eastAsia="Calibri" w:hAnsi="Cambria" w:cs="Times New Roman"/>
            <w:sz w:val="24"/>
            <w:szCs w:val="24"/>
          </w:rPr>
          <w:t>reclamação</w:t>
        </w:r>
      </w:hyperlink>
      <w:r w:rsidRPr="00EE2293">
        <w:rPr>
          <w:rFonts w:ascii="Cambria" w:eastAsia="Calibri" w:hAnsi="Cambria" w:cs="Times New Roman"/>
          <w:sz w:val="24"/>
          <w:szCs w:val="24"/>
        </w:rPr>
        <w:t xml:space="preserve"> relativa à atuação de entidades supervisionadas pela ASF ou denunciar alguma situação que lhe pareça irregular.</w:t>
      </w:r>
    </w:p>
    <w:p w14:paraId="26D193E6" w14:textId="77777777" w:rsidR="00A70FC2" w:rsidRPr="004D49FE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r w:rsidRPr="00EE2293">
        <w:rPr>
          <w:rFonts w:ascii="Cambria" w:eastAsia="Calibri" w:hAnsi="Cambria" w:cs="Arial"/>
          <w:color w:val="736357"/>
          <w:sz w:val="18"/>
          <w:szCs w:val="18"/>
          <w:shd w:val="clear" w:color="auto" w:fill="FFFFFF"/>
        </w:rPr>
        <w:t xml:space="preserve"> </w:t>
      </w:r>
      <w:hyperlink r:id="rId25" w:history="1">
        <w:r w:rsidRPr="00EE2293">
          <w:rPr>
            <w:rStyle w:val="Hiperligao"/>
            <w:rFonts w:ascii="Cambria" w:eastAsia="Times New Roman" w:hAnsi="Cambria" w:cs="Calibri"/>
            <w:sz w:val="24"/>
            <w:szCs w:val="24"/>
            <w:lang w:eastAsia="pt-PT"/>
          </w:rPr>
          <w:t>Banco de Portugal</w:t>
        </w:r>
      </w:hyperlink>
      <w:r w:rsidRPr="00EE2293">
        <w:rPr>
          <w:rFonts w:ascii="Cambria" w:eastAsia="Times New Roman" w:hAnsi="Cambria" w:cs="Calibri"/>
          <w:sz w:val="24"/>
          <w:szCs w:val="24"/>
          <w:shd w:val="clear" w:color="auto" w:fill="FFFFFF"/>
          <w:lang w:eastAsia="pt-PT"/>
        </w:rPr>
        <w:t xml:space="preserve">. Banco central da República portuguesa. </w:t>
      </w:r>
      <w:r w:rsidRPr="00A6749F">
        <w:rPr>
          <w:rFonts w:ascii="Cambria" w:eastAsia="Times New Roman" w:hAnsi="Cambria" w:cs="Calibri"/>
          <w:sz w:val="24"/>
          <w:szCs w:val="24"/>
          <w:shd w:val="clear" w:color="auto" w:fill="FFFFFF"/>
          <w:lang w:eastAsia="pt-PT"/>
        </w:rPr>
        <w:t>Supervisiona,</w:t>
      </w:r>
      <w:r>
        <w:rPr>
          <w:rFonts w:ascii="Cambria" w:eastAsia="Times New Roman" w:hAnsi="Cambria" w:cs="Calibri"/>
          <w:sz w:val="24"/>
          <w:szCs w:val="24"/>
          <w:shd w:val="clear" w:color="auto" w:fill="FFFFFF"/>
          <w:lang w:eastAsia="pt-PT"/>
        </w:rPr>
        <w:t xml:space="preserve"> r</w:t>
      </w:r>
      <w:r w:rsidRPr="00EE2293">
        <w:rPr>
          <w:rFonts w:ascii="Cambria" w:eastAsia="Times New Roman" w:hAnsi="Cambria" w:cs="Calibri"/>
          <w:color w:val="323232"/>
          <w:sz w:val="24"/>
          <w:szCs w:val="24"/>
          <w:shd w:val="clear" w:color="auto" w:fill="FFFFFF"/>
          <w:lang w:eastAsia="pt-PT"/>
        </w:rPr>
        <w:t xml:space="preserve">egula, fiscaliza e sanciona a conduta das instituições de crédito, das sociedades financeiras, das instituições de pagamento, das instituições de moeda eletrónica e dos intermediários de crédito na comercialização de produtos e serviços bancários de retalho. </w:t>
      </w:r>
    </w:p>
    <w:p w14:paraId="5123A6A3" w14:textId="77777777" w:rsidR="00A70FC2" w:rsidRPr="00EE2293" w:rsidRDefault="00A70FC2" w:rsidP="00A70FC2">
      <w:pPr>
        <w:spacing w:after="0" w:line="360" w:lineRule="auto"/>
        <w:jc w:val="both"/>
        <w:rPr>
          <w:rFonts w:ascii="Cambria" w:eastAsia="Calibri" w:hAnsi="Cambria" w:cs="Calibri"/>
          <w:color w:val="000000"/>
          <w:sz w:val="24"/>
          <w:szCs w:val="24"/>
          <w:shd w:val="clear" w:color="auto" w:fill="FFFFFF"/>
        </w:rPr>
      </w:pPr>
      <w:hyperlink r:id="rId26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</w:rPr>
          <w:t xml:space="preserve">CMVM – </w:t>
        </w:r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Comissão do Mercado de Valores Mobiliários</w:t>
        </w:r>
      </w:hyperlink>
      <w:r w:rsidRPr="00EE2293">
        <w:rPr>
          <w:rFonts w:ascii="Cambria" w:eastAsia="Calibri" w:hAnsi="Cambria" w:cs="Calibri"/>
          <w:color w:val="000000"/>
          <w:sz w:val="24"/>
          <w:szCs w:val="24"/>
          <w:shd w:val="clear" w:color="auto" w:fill="FFFFFF"/>
        </w:rPr>
        <w:t xml:space="preserve">. Supervisiona e regula os mercados de instrumentos financeiros, assim como os agentes que neles atuam, promovendo a proteção dos investidores. </w:t>
      </w:r>
    </w:p>
    <w:p w14:paraId="5FBC8B03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color w:val="000000"/>
          <w:sz w:val="24"/>
          <w:szCs w:val="24"/>
          <w:shd w:val="clear" w:color="auto" w:fill="FFFFFF"/>
        </w:rPr>
      </w:pPr>
      <w:hyperlink r:id="rId27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</w:rPr>
          <w:t>Mediador do Crédito</w:t>
        </w:r>
      </w:hyperlink>
      <w:r w:rsidRPr="00EE2293">
        <w:rPr>
          <w:rFonts w:ascii="Cambria" w:eastAsia="Calibri" w:hAnsi="Cambria" w:cs="Calibri"/>
          <w:sz w:val="24"/>
          <w:szCs w:val="24"/>
        </w:rPr>
        <w:t xml:space="preserve">. </w:t>
      </w:r>
      <w:r w:rsidRPr="00EE2293">
        <w:rPr>
          <w:rFonts w:ascii="Cambria" w:eastAsia="Calibri" w:hAnsi="Cambria" w:cs="Calibri"/>
          <w:color w:val="1D262A"/>
          <w:sz w:val="24"/>
          <w:szCs w:val="24"/>
          <w:shd w:val="clear" w:color="auto" w:fill="FFFFFF"/>
        </w:rPr>
        <w:t>Tem por missão a defesa e a promoção dos direitos, garantias e interesses legítimos de quaisquer pessoas ou entidades que sejam parte em relações de crédito, bem como contribuir para melhorar o acesso ao crédito junto do sistema financeiro.</w:t>
      </w:r>
      <w:r w:rsidRPr="00EE2293">
        <w:rPr>
          <w:rFonts w:ascii="Cambria" w:eastAsia="Calibri" w:hAnsi="Cambria" w:cs="Calibri"/>
          <w:color w:val="000000"/>
          <w:sz w:val="24"/>
          <w:szCs w:val="24"/>
          <w:shd w:val="clear" w:color="auto" w:fill="FFFFFF"/>
        </w:rPr>
        <w:t xml:space="preserve"> </w:t>
      </w:r>
    </w:p>
    <w:p w14:paraId="5F2DDD16" w14:textId="77777777" w:rsidR="00A70FC2" w:rsidRPr="004D49FE" w:rsidRDefault="00A70FC2" w:rsidP="00A70FC2">
      <w:pPr>
        <w:spacing w:after="0" w:line="360" w:lineRule="auto"/>
        <w:jc w:val="both"/>
        <w:rPr>
          <w:rFonts w:ascii="Cambria" w:eastAsia="Calibri" w:hAnsi="Cambria" w:cs="Calibri"/>
          <w:color w:val="000000"/>
          <w:sz w:val="24"/>
          <w:szCs w:val="24"/>
          <w:shd w:val="clear" w:color="auto" w:fill="FFFFFF"/>
        </w:rPr>
      </w:pPr>
    </w:p>
    <w:p w14:paraId="7D877D84" w14:textId="77777777" w:rsidR="00A70FC2" w:rsidRPr="002071A1" w:rsidRDefault="00A70FC2" w:rsidP="00A70FC2">
      <w:pPr>
        <w:numPr>
          <w:ilvl w:val="0"/>
          <w:numId w:val="1"/>
        </w:numPr>
        <w:pBdr>
          <w:top w:val="single" w:sz="24" w:space="1" w:color="C00000"/>
          <w:left w:val="single" w:sz="24" w:space="4" w:color="C00000"/>
          <w:bottom w:val="single" w:sz="24" w:space="1" w:color="C00000"/>
          <w:right w:val="single" w:sz="24" w:space="0" w:color="C00000"/>
        </w:pBdr>
        <w:shd w:val="clear" w:color="auto" w:fill="F2DBDB"/>
        <w:spacing w:after="200" w:line="480" w:lineRule="auto"/>
        <w:contextualSpacing/>
        <w:jc w:val="both"/>
        <w:rPr>
          <w:rFonts w:ascii="Cambria" w:eastAsia="Calibri" w:hAnsi="Cambria" w:cs="Times New Roman"/>
          <w:b/>
          <w:bCs/>
          <w:color w:val="C0504D"/>
          <w:sz w:val="36"/>
          <w:szCs w:val="36"/>
        </w:rPr>
      </w:pPr>
      <w:bookmarkStart w:id="3" w:name="_Hlk109408149"/>
      <w:r w:rsidRPr="002071A1"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>Tribunais</w:t>
      </w:r>
    </w:p>
    <w:bookmarkEnd w:id="3"/>
    <w:p w14:paraId="51E719B4" w14:textId="77777777" w:rsidR="00A70FC2" w:rsidRPr="002071A1" w:rsidRDefault="00A70FC2" w:rsidP="00A70FC2">
      <w:pPr>
        <w:spacing w:line="480" w:lineRule="auto"/>
        <w:ind w:left="720"/>
        <w:contextualSpacing/>
        <w:jc w:val="both"/>
        <w:rPr>
          <w:rFonts w:ascii="Cambria" w:eastAsia="Calibri" w:hAnsi="Cambria" w:cs="Times New Roman"/>
          <w:b/>
          <w:bCs/>
          <w:color w:val="C0504D"/>
          <w:sz w:val="24"/>
          <w:szCs w:val="24"/>
        </w:rPr>
      </w:pPr>
    </w:p>
    <w:p w14:paraId="29D1E5D5" w14:textId="77777777" w:rsidR="00A70FC2" w:rsidRPr="002071A1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mbria" w:hAnsi="Cambria" w:cstheme="minorHAnsi"/>
          <w:b/>
          <w:bCs/>
          <w:i/>
          <w:iCs/>
          <w:sz w:val="24"/>
          <w:szCs w:val="24"/>
        </w:rPr>
      </w:pPr>
      <w:r w:rsidRPr="008B1628">
        <w:rPr>
          <w:rFonts w:ascii="Cambria" w:hAnsi="Cambria" w:cstheme="minorHAnsi"/>
          <w:b/>
          <w:bCs/>
          <w:i/>
          <w:iCs/>
          <w:sz w:val="24"/>
          <w:szCs w:val="24"/>
        </w:rPr>
        <w:t>O Provedor de Justiça não pode intervir relativamente ao que se encontra a ser apreciado ou já foi decidido pelos tribunais ou pelo Ministério Público. O Provedor de Justiça intervém quando está em causa a boa administração do serviço de justiça, como no caso de demora injustificada no andamento dos processos</w:t>
      </w:r>
      <w:r w:rsidRPr="008B1628">
        <w:rPr>
          <w:rFonts w:ascii="Cambria" w:eastAsia="Calibri" w:hAnsi="Cambria" w:cstheme="minorHAnsi"/>
          <w:b/>
          <w:bCs/>
          <w:i/>
          <w:iCs/>
          <w:sz w:val="24"/>
          <w:szCs w:val="24"/>
        </w:rPr>
        <w:t>, sem prejuízo de intervenção prévia dos Conselhos Superiores.</w:t>
      </w:r>
    </w:p>
    <w:p w14:paraId="746AF53E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b/>
          <w:bCs/>
          <w:sz w:val="24"/>
          <w:szCs w:val="24"/>
        </w:rPr>
      </w:pPr>
    </w:p>
    <w:p w14:paraId="464F35B2" w14:textId="77777777" w:rsidR="00A70FC2" w:rsidRPr="00695BE1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r>
        <w:rPr>
          <w:rFonts w:ascii="Cambria" w:eastAsia="Calibri" w:hAnsi="Cambria" w:cs="Calibri"/>
          <w:b/>
          <w:bCs/>
          <w:sz w:val="24"/>
          <w:szCs w:val="24"/>
        </w:rPr>
        <w:t xml:space="preserve">Acesso à justiça </w:t>
      </w:r>
      <w:r w:rsidRPr="00E01097">
        <w:rPr>
          <w:rFonts w:ascii="Cambria" w:eastAsia="Calibri" w:hAnsi="Cambria" w:cs="Calibri"/>
          <w:b/>
          <w:bCs/>
          <w:sz w:val="24"/>
          <w:szCs w:val="24"/>
        </w:rPr>
        <w:t>- Proteção</w:t>
      </w:r>
      <w:r w:rsidRPr="00695BE1">
        <w:rPr>
          <w:rFonts w:ascii="Cambria" w:eastAsia="Calibri" w:hAnsi="Cambria" w:cs="Calibri"/>
          <w:b/>
          <w:bCs/>
          <w:sz w:val="24"/>
          <w:szCs w:val="24"/>
        </w:rPr>
        <w:t xml:space="preserve"> jurídica</w:t>
      </w:r>
      <w:r w:rsidRPr="00695BE1">
        <w:rPr>
          <w:rFonts w:ascii="Cambria" w:eastAsia="Calibri" w:hAnsi="Cambria" w:cs="Calibri"/>
          <w:sz w:val="24"/>
          <w:szCs w:val="24"/>
        </w:rPr>
        <w:t xml:space="preserve"> </w:t>
      </w:r>
      <w:r w:rsidRPr="00695BE1">
        <w:rPr>
          <w:rFonts w:ascii="Cambria" w:eastAsia="Calibri" w:hAnsi="Cambria" w:cs="Calibri"/>
          <w:b/>
          <w:bCs/>
          <w:sz w:val="24"/>
          <w:szCs w:val="24"/>
        </w:rPr>
        <w:t xml:space="preserve">para quem se encontre em situação de carência económica </w:t>
      </w:r>
      <w:r w:rsidRPr="00695BE1">
        <w:rPr>
          <w:rFonts w:ascii="Cambria" w:eastAsia="Calibri" w:hAnsi="Cambria" w:cs="Calibri"/>
          <w:sz w:val="24"/>
          <w:szCs w:val="24"/>
        </w:rPr>
        <w:t xml:space="preserve">(consulta jurídica/apoio judiciário) </w:t>
      </w:r>
    </w:p>
    <w:p w14:paraId="67CBD656" w14:textId="77777777" w:rsidR="00A70FC2" w:rsidRPr="00695BE1" w:rsidRDefault="00A70FC2" w:rsidP="00A70FC2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28" w:history="1">
        <w:r w:rsidRPr="00194A21">
          <w:rPr>
            <w:rStyle w:val="Hiperligao"/>
            <w:rFonts w:ascii="Cambria" w:eastAsia="Calibri" w:hAnsi="Cambria" w:cs="Calibri"/>
            <w:sz w:val="24"/>
            <w:szCs w:val="24"/>
          </w:rPr>
          <w:t>Informações sobre como pedir apoio judiciário</w:t>
        </w:r>
      </w:hyperlink>
    </w:p>
    <w:p w14:paraId="11EA97EF" w14:textId="77777777" w:rsidR="00A70FC2" w:rsidRPr="004D49FE" w:rsidRDefault="00A70FC2" w:rsidP="00A70FC2">
      <w:pPr>
        <w:pStyle w:val="PargrafodaLista"/>
        <w:numPr>
          <w:ilvl w:val="0"/>
          <w:numId w:val="2"/>
        </w:numPr>
        <w:spacing w:after="0" w:line="360" w:lineRule="auto"/>
        <w:jc w:val="both"/>
        <w:rPr>
          <w:rFonts w:ascii="Cambria" w:eastAsia="Calibri" w:hAnsi="Cambria" w:cs="Calibri"/>
          <w:color w:val="00B050"/>
          <w:sz w:val="24"/>
          <w:szCs w:val="24"/>
        </w:rPr>
      </w:pPr>
      <w:hyperlink r:id="rId29" w:history="1">
        <w:r w:rsidRPr="002F093A">
          <w:rPr>
            <w:rStyle w:val="Hiperligao"/>
            <w:rFonts w:ascii="Cambria" w:eastAsia="Calibri" w:hAnsi="Cambria" w:cs="Calibri"/>
            <w:sz w:val="24"/>
            <w:szCs w:val="24"/>
          </w:rPr>
          <w:t>Guia Prático da proteção jurídica da Segurança Social</w:t>
        </w:r>
        <w:r w:rsidRPr="002F093A">
          <w:rPr>
            <w:rStyle w:val="Hiperligao"/>
            <w:rFonts w:ascii="Cambria" w:eastAsia="Calibri" w:hAnsi="Cambria" w:cs="Calibri"/>
            <w:b/>
            <w:bCs/>
            <w:sz w:val="24"/>
            <w:szCs w:val="24"/>
          </w:rPr>
          <w:t xml:space="preserve"> </w:t>
        </w:r>
      </w:hyperlink>
      <w:r w:rsidRPr="00695BE1">
        <w:rPr>
          <w:rFonts w:ascii="Cambria" w:eastAsia="Calibri" w:hAnsi="Cambria" w:cs="Calibri"/>
          <w:b/>
          <w:bCs/>
          <w:sz w:val="24"/>
          <w:szCs w:val="24"/>
        </w:rPr>
        <w:t xml:space="preserve"> </w:t>
      </w:r>
    </w:p>
    <w:p w14:paraId="6FD35482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0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CAAJ - Comissão para o Acompanhamento dos Auxiliares da Justiça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>. Entidade administrativa independente, com atribuições de supervisão e regulação dos auxiliares da justiça, designadamente dos agentes de execução e administradores judiciais.</w:t>
      </w:r>
    </w:p>
    <w:p w14:paraId="195DF145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1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CDAJ- Comissão de Disciplina dos Auxiliares da Justiça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Responsável por instruir os processos disciplinares e contraordenacionais respetivos e aplicar sanções disciplinares e contraordenacionais. </w:t>
      </w:r>
    </w:p>
    <w:p w14:paraId="43FDA93A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Arial"/>
          <w:color w:val="000000"/>
          <w:sz w:val="24"/>
          <w:szCs w:val="24"/>
          <w:shd w:val="clear" w:color="auto" w:fill="FAFAFA"/>
        </w:rPr>
      </w:pPr>
      <w:hyperlink r:id="rId32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BNA – Balcão Nacional de Arrendamento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</w:t>
      </w:r>
      <w:r w:rsidRPr="00EE2293">
        <w:rPr>
          <w:rFonts w:ascii="Cambria" w:eastAsia="Calibri" w:hAnsi="Cambria" w:cs="Arial"/>
          <w:color w:val="000000"/>
          <w:sz w:val="24"/>
          <w:szCs w:val="24"/>
          <w:shd w:val="clear" w:color="auto" w:fill="FAFAFA"/>
        </w:rPr>
        <w:t xml:space="preserve">O Balcão Nacional do Arrendamento tem competência exclusiva para a tramitação do procedimento especial de despejo em todo o território nacional. </w:t>
      </w:r>
    </w:p>
    <w:p w14:paraId="7551E2A5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3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Balcão Nacional das Injunções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A injunção é um procedimento que permite a um credor de uma dívida ter um documento (a que se chama título executivo) que lhe possibilita recorrer a um processo judicial de execução para recuperar junto do devedor o montante que este lhe deve. </w:t>
      </w:r>
    </w:p>
    <w:p w14:paraId="6170C635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4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Julgados de Paz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Rede de tribunais de proximidade com procedimentos caracterizados pela simplicidade, adequação, informalidade, oralidade e economia processual. </w:t>
      </w:r>
    </w:p>
    <w:p w14:paraId="3E70B93E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5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Conselho dos Julgados de Paz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>. Acompanha a instalação e o desempenho dos Julgados de Paz; pratica os atos de nomeação, gestão e disciplina dos seus juízes.</w:t>
      </w:r>
    </w:p>
    <w:p w14:paraId="057F5F23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6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CSM – Conselho Superior da Magistratura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Órgão do Estado a quem estão constitucionalmente atribuídas as competências de nomeação, colocação, transferência e promoção dos juízes dos tribunais judiciais e o exercício da ação disciplinar, sendo, simultaneamente, um órgão de salvaguarda institucional dos juízes e da sua independência. </w:t>
      </w:r>
    </w:p>
    <w:p w14:paraId="02716C81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color w:val="313131"/>
          <w:sz w:val="24"/>
          <w:szCs w:val="24"/>
          <w:shd w:val="clear" w:color="auto" w:fill="FFFFFF"/>
        </w:rPr>
      </w:pPr>
      <w:hyperlink r:id="rId37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CSMP – Conselho Superior do Ministério Público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</w:t>
      </w:r>
      <w:r w:rsidRPr="00EE2293">
        <w:rPr>
          <w:rFonts w:ascii="Cambria" w:eastAsia="Calibri" w:hAnsi="Cambria" w:cs="Calibri"/>
          <w:color w:val="313131"/>
          <w:sz w:val="24"/>
          <w:szCs w:val="24"/>
          <w:shd w:val="clear" w:color="auto" w:fill="FFFFFF"/>
        </w:rPr>
        <w:t xml:space="preserve">Órgão superior de gestão e disciplina por intermédio do qual se exerce a competência disciplinar e de gestão de quadros do Ministério Público. </w:t>
      </w:r>
    </w:p>
    <w:p w14:paraId="545C3979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8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CSTAF – Conselho Superior dos Tribunais Administrativos e Fiscais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Órgão de gestão e disciplina dos juízes da jurisdição administrativa e fiscal. Os tribunais administrativos e fiscais são os órgãos de soberania com competência para julgar os litígios emergentes das relações jurídicas administrativas e fiscais. </w:t>
      </w:r>
    </w:p>
    <w:bookmarkStart w:id="4" w:name="_Hlk109913641"/>
    <w:p w14:paraId="7115C207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fldChar w:fldCharType="begin"/>
      </w: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instrText xml:space="preserve"> HYPERLINK "http://www.ministeriopublico.pt/" </w:instrText>
      </w: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</w: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fldChar w:fldCharType="separate"/>
      </w:r>
      <w:r w:rsidRPr="00EE2293">
        <w:rPr>
          <w:rStyle w:val="Hiperligao"/>
          <w:rFonts w:ascii="Cambria" w:eastAsia="Calibri" w:hAnsi="Cambria" w:cs="Calibri"/>
          <w:sz w:val="24"/>
          <w:szCs w:val="24"/>
          <w:shd w:val="clear" w:color="auto" w:fill="FFFFFF"/>
        </w:rPr>
        <w:t>Ministério Público</w:t>
      </w: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fldChar w:fldCharType="end"/>
      </w:r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Órgão constitucional com competência para exercer a ação penal, representar o Estado, defender a legalidade democrática e os interesses que a lei determinar. </w:t>
      </w:r>
      <w:bookmarkEnd w:id="4"/>
    </w:p>
    <w:p w14:paraId="6AC18D09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39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COJ – Conselho dos Oficiais de Justiça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. Aprecia o mérito profissional e exerce o poder disciplinar sobre os Oficiais de Justiça. </w:t>
      </w:r>
    </w:p>
    <w:p w14:paraId="1E4C9446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40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OA – Ordem dos Advogados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 </w:t>
      </w:r>
    </w:p>
    <w:p w14:paraId="7AE0FA86" w14:textId="77777777" w:rsidR="00A70FC2" w:rsidRPr="00EE2293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  <w:shd w:val="clear" w:color="auto" w:fill="FFFFFF"/>
        </w:rPr>
      </w:pPr>
      <w:hyperlink r:id="rId41" w:history="1">
        <w:r w:rsidRPr="00EE2293">
          <w:rPr>
            <w:rStyle w:val="Hiperligao"/>
            <w:rFonts w:ascii="Cambria" w:eastAsia="Calibri" w:hAnsi="Cambria" w:cs="Calibri"/>
            <w:sz w:val="24"/>
            <w:szCs w:val="24"/>
            <w:shd w:val="clear" w:color="auto" w:fill="FFFFFF"/>
          </w:rPr>
          <w:t>OSAE – Ordem dos Solicitadores e dos Agentes de Execução</w:t>
        </w:r>
      </w:hyperlink>
      <w:r w:rsidRPr="00EE2293">
        <w:rPr>
          <w:rFonts w:ascii="Cambria" w:eastAsia="Calibri" w:hAnsi="Cambria" w:cs="Calibri"/>
          <w:sz w:val="24"/>
          <w:szCs w:val="24"/>
          <w:shd w:val="clear" w:color="auto" w:fill="FFFFFF"/>
        </w:rPr>
        <w:t xml:space="preserve"> </w:t>
      </w:r>
    </w:p>
    <w:p w14:paraId="23F7D041" w14:textId="77777777" w:rsidR="00A70FC2" w:rsidRPr="002071A1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</w:p>
    <w:p w14:paraId="74FD24E7" w14:textId="77777777" w:rsidR="00A70FC2" w:rsidRPr="00062C07" w:rsidRDefault="00A70FC2" w:rsidP="00A70FC2">
      <w:pPr>
        <w:numPr>
          <w:ilvl w:val="0"/>
          <w:numId w:val="1"/>
        </w:numPr>
        <w:pBdr>
          <w:top w:val="single" w:sz="24" w:space="1" w:color="C00000"/>
          <w:left w:val="single" w:sz="24" w:space="4" w:color="C00000"/>
          <w:bottom w:val="single" w:sz="24" w:space="1" w:color="C00000"/>
          <w:right w:val="single" w:sz="24" w:space="0" w:color="C00000"/>
        </w:pBdr>
        <w:shd w:val="clear" w:color="auto" w:fill="F2DBDB"/>
        <w:spacing w:after="200" w:line="480" w:lineRule="auto"/>
        <w:contextualSpacing/>
        <w:jc w:val="both"/>
        <w:rPr>
          <w:rFonts w:ascii="Cambria" w:eastAsia="Calibri" w:hAnsi="Cambria" w:cs="Times New Roman"/>
          <w:b/>
          <w:bCs/>
          <w:color w:val="C0504D"/>
          <w:sz w:val="36"/>
          <w:szCs w:val="36"/>
        </w:rPr>
      </w:pPr>
      <w:r w:rsidRPr="002071A1"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>Entidades estrangeiras</w:t>
      </w:r>
      <w:r>
        <w:rPr>
          <w:rFonts w:ascii="Cambria" w:eastAsia="Calibri" w:hAnsi="Cambria" w:cs="Times New Roman"/>
          <w:b/>
          <w:bCs/>
          <w:color w:val="C0504D"/>
          <w:sz w:val="36"/>
          <w:szCs w:val="36"/>
        </w:rPr>
        <w:t xml:space="preserve"> ou da União Europeia</w:t>
      </w:r>
    </w:p>
    <w:p w14:paraId="2E7DA336" w14:textId="77777777" w:rsidR="00A70FC2" w:rsidRDefault="00A70FC2" w:rsidP="00A70FC2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24EB1AAC" w14:textId="77777777" w:rsidR="00A70FC2" w:rsidRPr="00E67C1C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Cambria" w:hAnsi="Cambria"/>
          <w:b/>
          <w:bCs/>
          <w:i/>
          <w:iCs/>
          <w:sz w:val="24"/>
          <w:szCs w:val="24"/>
        </w:rPr>
      </w:pPr>
      <w:bookmarkStart w:id="5" w:name="_Hlk113287553"/>
      <w:r w:rsidRPr="00E67C1C">
        <w:rPr>
          <w:rFonts w:ascii="Cambria" w:hAnsi="Cambria" w:cstheme="minorHAnsi"/>
          <w:b/>
          <w:bCs/>
          <w:i/>
          <w:iCs/>
          <w:sz w:val="24"/>
          <w:szCs w:val="24"/>
        </w:rPr>
        <w:t>O Provedor de Justiça não pode intervir relativament</w:t>
      </w:r>
      <w:r>
        <w:rPr>
          <w:rFonts w:ascii="Cambria" w:hAnsi="Cambria" w:cstheme="minorHAnsi"/>
          <w:b/>
          <w:bCs/>
          <w:i/>
          <w:iCs/>
          <w:sz w:val="24"/>
          <w:szCs w:val="24"/>
        </w:rPr>
        <w:t>e a</w:t>
      </w:r>
      <w:r w:rsidRPr="00E67C1C">
        <w:rPr>
          <w:rFonts w:ascii="Cambria" w:hAnsi="Cambria"/>
          <w:b/>
          <w:bCs/>
          <w:i/>
          <w:iCs/>
          <w:sz w:val="24"/>
          <w:szCs w:val="24"/>
        </w:rPr>
        <w:t xml:space="preserve"> entidade</w:t>
      </w:r>
      <w:r>
        <w:rPr>
          <w:rFonts w:ascii="Cambria" w:hAnsi="Cambria"/>
          <w:b/>
          <w:bCs/>
          <w:i/>
          <w:iCs/>
          <w:sz w:val="24"/>
          <w:szCs w:val="24"/>
        </w:rPr>
        <w:t>s</w:t>
      </w:r>
      <w:r w:rsidRPr="00E67C1C">
        <w:rPr>
          <w:rFonts w:ascii="Cambria" w:hAnsi="Cambria"/>
          <w:b/>
          <w:bCs/>
          <w:i/>
          <w:iCs/>
          <w:sz w:val="24"/>
          <w:szCs w:val="24"/>
        </w:rPr>
        <w:t xml:space="preserve"> estrangeira</w:t>
      </w:r>
      <w:r>
        <w:rPr>
          <w:rFonts w:ascii="Cambria" w:hAnsi="Cambria"/>
          <w:b/>
          <w:bCs/>
          <w:i/>
          <w:iCs/>
          <w:sz w:val="24"/>
          <w:szCs w:val="24"/>
        </w:rPr>
        <w:t>s nem a</w:t>
      </w:r>
      <w:r w:rsidRPr="00C076B7">
        <w:rPr>
          <w:rFonts w:ascii="Cambria" w:hAnsi="Cambria"/>
          <w:b/>
          <w:bCs/>
          <w:i/>
          <w:iCs/>
          <w:sz w:val="24"/>
          <w:szCs w:val="24"/>
        </w:rPr>
        <w:t xml:space="preserve"> instituições e organismos da União Europeia</w:t>
      </w:r>
      <w:r>
        <w:rPr>
          <w:rFonts w:ascii="Cambria" w:hAnsi="Cambria"/>
          <w:b/>
          <w:bCs/>
          <w:i/>
          <w:iCs/>
          <w:sz w:val="24"/>
          <w:szCs w:val="24"/>
        </w:rPr>
        <w:t xml:space="preserve"> (UE), que dispõe</w:t>
      </w:r>
      <w:r w:rsidRPr="009E760F">
        <w:rPr>
          <w:rFonts w:ascii="Cambria" w:hAnsi="Cambria"/>
          <w:b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/>
          <w:bCs/>
          <w:i/>
          <w:iCs/>
          <w:sz w:val="24"/>
          <w:szCs w:val="24"/>
        </w:rPr>
        <w:t xml:space="preserve">de </w:t>
      </w:r>
      <w:r w:rsidRPr="009E760F">
        <w:rPr>
          <w:rFonts w:ascii="Cambria" w:hAnsi="Cambria"/>
          <w:b/>
          <w:bCs/>
          <w:i/>
          <w:iCs/>
          <w:sz w:val="24"/>
          <w:szCs w:val="24"/>
        </w:rPr>
        <w:t>mecanismos</w:t>
      </w:r>
      <w:r>
        <w:rPr>
          <w:rFonts w:ascii="Cambria" w:hAnsi="Cambria"/>
          <w:b/>
          <w:bCs/>
          <w:i/>
          <w:iCs/>
          <w:sz w:val="24"/>
          <w:szCs w:val="24"/>
        </w:rPr>
        <w:t xml:space="preserve"> próprios</w:t>
      </w:r>
      <w:r w:rsidRPr="009E760F">
        <w:rPr>
          <w:rFonts w:ascii="Cambria" w:hAnsi="Cambria"/>
          <w:b/>
          <w:bCs/>
          <w:i/>
          <w:iCs/>
          <w:sz w:val="24"/>
          <w:szCs w:val="24"/>
        </w:rPr>
        <w:t xml:space="preserve"> de queixa ou reclamação. </w:t>
      </w:r>
    </w:p>
    <w:p w14:paraId="6A6AF9F8" w14:textId="77777777" w:rsidR="00A70FC2" w:rsidRDefault="00A70FC2" w:rsidP="00A70FC2">
      <w:pPr>
        <w:spacing w:after="0" w:line="360" w:lineRule="auto"/>
        <w:contextualSpacing/>
        <w:jc w:val="both"/>
      </w:pPr>
    </w:p>
    <w:p w14:paraId="250495DB" w14:textId="77777777" w:rsidR="00A70FC2" w:rsidRPr="002C2328" w:rsidRDefault="00A70FC2" w:rsidP="00A70FC2">
      <w:pPr>
        <w:spacing w:after="0" w:line="360" w:lineRule="auto"/>
        <w:contextualSpacing/>
        <w:jc w:val="both"/>
        <w:rPr>
          <w:rFonts w:ascii="Cambria" w:eastAsia="Calibri" w:hAnsi="Cambria" w:cs="Calibri"/>
          <w:sz w:val="24"/>
          <w:szCs w:val="24"/>
        </w:rPr>
      </w:pPr>
      <w:hyperlink r:id="rId42" w:history="1">
        <w:r w:rsidRPr="002C2328">
          <w:rPr>
            <w:rStyle w:val="Hiperligao"/>
            <w:rFonts w:ascii="Cambria" w:eastAsia="Calibri" w:hAnsi="Cambria" w:cs="Calibri"/>
            <w:sz w:val="24"/>
            <w:szCs w:val="24"/>
          </w:rPr>
          <w:t>Provedor de Justiça Europeu</w:t>
        </w:r>
      </w:hyperlink>
      <w:r w:rsidRPr="002C2328">
        <w:rPr>
          <w:rFonts w:ascii="Cambria" w:eastAsia="Calibri" w:hAnsi="Cambria" w:cs="Calibri"/>
          <w:sz w:val="24"/>
          <w:szCs w:val="24"/>
        </w:rPr>
        <w:t>.</w:t>
      </w:r>
      <w:r w:rsidRPr="002C2328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Recebe queixas de pessoas, empresas e organizações relativas a casos de má administração na atuação das instituições, órgãos ou organismos da UE, com exceção do Tribunal de Justiça da União Europeia no exercício das suas funções jurisdicionais</w:t>
      </w:r>
      <w:r w:rsidRPr="002C2328">
        <w:rPr>
          <w:rFonts w:ascii="Cambria" w:eastAsia="Calibri" w:hAnsi="Cambria" w:cs="Calibri"/>
          <w:sz w:val="24"/>
          <w:szCs w:val="24"/>
        </w:rPr>
        <w:t>.</w:t>
      </w:r>
    </w:p>
    <w:p w14:paraId="3BF5C894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43" w:history="1">
        <w:r w:rsidRPr="002C2328">
          <w:rPr>
            <w:rStyle w:val="Hiperligao"/>
            <w:rFonts w:ascii="Cambria" w:eastAsia="Calibri" w:hAnsi="Cambria" w:cs="Calibri"/>
            <w:sz w:val="24"/>
            <w:szCs w:val="24"/>
          </w:rPr>
          <w:t>SOLVIT</w:t>
        </w:r>
      </w:hyperlink>
      <w:r w:rsidRPr="002C2328">
        <w:rPr>
          <w:rFonts w:ascii="Cambria" w:eastAsia="Calibri" w:hAnsi="Cambria" w:cs="Calibri"/>
          <w:sz w:val="24"/>
          <w:szCs w:val="24"/>
        </w:rPr>
        <w:t>.</w:t>
      </w:r>
      <w:r w:rsidRPr="002071A1">
        <w:rPr>
          <w:rFonts w:ascii="Cambria" w:eastAsia="Calibri" w:hAnsi="Cambria" w:cs="Calibri"/>
          <w:b/>
          <w:bCs/>
          <w:sz w:val="24"/>
          <w:szCs w:val="24"/>
        </w:rPr>
        <w:t xml:space="preserve"> </w:t>
      </w:r>
      <w:r w:rsidRPr="003617A9">
        <w:rPr>
          <w:rFonts w:ascii="Cambria" w:eastAsia="Calibri" w:hAnsi="Cambria" w:cs="Calibri"/>
          <w:sz w:val="24"/>
          <w:szCs w:val="24"/>
        </w:rPr>
        <w:t xml:space="preserve">Serviço prestado pelas administrações nacionais de todos </w:t>
      </w:r>
      <w:r>
        <w:rPr>
          <w:rFonts w:ascii="Cambria" w:eastAsia="Calibri" w:hAnsi="Cambria" w:cs="Calibri"/>
          <w:sz w:val="24"/>
          <w:szCs w:val="24"/>
        </w:rPr>
        <w:t>os Estados-Membros</w:t>
      </w:r>
      <w:r w:rsidRPr="003617A9">
        <w:rPr>
          <w:rFonts w:ascii="Cambria" w:eastAsia="Calibri" w:hAnsi="Cambria" w:cs="Calibri"/>
          <w:sz w:val="24"/>
          <w:szCs w:val="24"/>
        </w:rPr>
        <w:t xml:space="preserve"> da U</w:t>
      </w:r>
      <w:r>
        <w:rPr>
          <w:rFonts w:ascii="Cambria" w:eastAsia="Calibri" w:hAnsi="Cambria" w:cs="Calibri"/>
          <w:sz w:val="24"/>
          <w:szCs w:val="24"/>
        </w:rPr>
        <w:t>E</w:t>
      </w:r>
      <w:r w:rsidRPr="003617A9">
        <w:rPr>
          <w:rFonts w:ascii="Cambria" w:eastAsia="Calibri" w:hAnsi="Cambria" w:cs="Calibri"/>
          <w:sz w:val="24"/>
          <w:szCs w:val="24"/>
        </w:rPr>
        <w:t xml:space="preserve">, bem como da Islândia, do Liechtenstein e da Noruega, que procura resolver </w:t>
      </w:r>
      <w:r>
        <w:rPr>
          <w:rFonts w:ascii="Cambria" w:eastAsia="Calibri" w:hAnsi="Cambria" w:cs="Calibri"/>
          <w:sz w:val="24"/>
          <w:szCs w:val="24"/>
        </w:rPr>
        <w:t xml:space="preserve">problemas decorrentes do </w:t>
      </w:r>
      <w:r w:rsidRPr="003617A9">
        <w:rPr>
          <w:rFonts w:ascii="Cambria" w:hAnsi="Cambria"/>
          <w:sz w:val="24"/>
          <w:szCs w:val="24"/>
        </w:rPr>
        <w:t xml:space="preserve">não respeito </w:t>
      </w:r>
      <w:r>
        <w:rPr>
          <w:rFonts w:ascii="Cambria" w:hAnsi="Cambria"/>
          <w:sz w:val="24"/>
          <w:szCs w:val="24"/>
        </w:rPr>
        <w:t>dos</w:t>
      </w:r>
      <w:r w:rsidRPr="003617A9">
        <w:rPr>
          <w:rFonts w:ascii="Cambria" w:eastAsia="Calibri" w:hAnsi="Cambria" w:cs="Calibri"/>
          <w:sz w:val="24"/>
          <w:szCs w:val="24"/>
        </w:rPr>
        <w:t xml:space="preserve"> seus direitos enquanto cidadão da UE ou enquanto empresa </w:t>
      </w:r>
      <w:r>
        <w:rPr>
          <w:rFonts w:ascii="Cambria" w:eastAsia="Calibri" w:hAnsi="Cambria" w:cs="Calibri"/>
          <w:sz w:val="24"/>
          <w:szCs w:val="24"/>
        </w:rPr>
        <w:t>e que ocorram n</w:t>
      </w:r>
      <w:r w:rsidRPr="003617A9">
        <w:rPr>
          <w:rFonts w:ascii="Cambria" w:eastAsia="Calibri" w:hAnsi="Cambria" w:cs="Calibri"/>
          <w:sz w:val="24"/>
          <w:szCs w:val="24"/>
        </w:rPr>
        <w:t xml:space="preserve">outro país da </w:t>
      </w:r>
      <w:r>
        <w:rPr>
          <w:rFonts w:ascii="Cambria" w:eastAsia="Calibri" w:hAnsi="Cambria" w:cs="Calibri"/>
          <w:sz w:val="24"/>
          <w:szCs w:val="24"/>
        </w:rPr>
        <w:t>UE.</w:t>
      </w:r>
    </w:p>
    <w:p w14:paraId="5F1C9D52" w14:textId="77777777" w:rsidR="00A70FC2" w:rsidRPr="0054471C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44" w:history="1">
        <w:r w:rsidRPr="00595FB3">
          <w:rPr>
            <w:rStyle w:val="Hiperligao"/>
            <w:rFonts w:ascii="Cambria" w:eastAsia="Calibri" w:hAnsi="Cambria" w:cs="Calibri"/>
            <w:sz w:val="24"/>
            <w:szCs w:val="24"/>
          </w:rPr>
          <w:t>Centro Europeu do Consumidor.</w:t>
        </w:r>
      </w:hyperlink>
      <w:r w:rsidRPr="00595FB3">
        <w:rPr>
          <w:rFonts w:ascii="Cambria" w:eastAsia="Calibri" w:hAnsi="Cambria" w:cs="Calibri"/>
          <w:sz w:val="24"/>
          <w:szCs w:val="24"/>
        </w:rPr>
        <w:t xml:space="preserve"> Faculta, gratuitamente, informação sobre os direitos dos consumidores no âmbito da União Europeia e assistência na resolução de problemas relacionados com compras transfronteiriças de bens e serviços.</w:t>
      </w:r>
    </w:p>
    <w:p w14:paraId="67CC3E89" w14:textId="77777777" w:rsidR="00A70FC2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</w:p>
    <w:p w14:paraId="2187EF41" w14:textId="77777777" w:rsidR="00A70FC2" w:rsidRDefault="00A70FC2" w:rsidP="00A70F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both"/>
      </w:pPr>
      <w:r>
        <w:rPr>
          <w:rFonts w:ascii="Cambria" w:hAnsi="Cambria"/>
          <w:b/>
          <w:bCs/>
          <w:i/>
          <w:iCs/>
          <w:sz w:val="24"/>
          <w:szCs w:val="24"/>
        </w:rPr>
        <w:t>Em muitos outros países, existem</w:t>
      </w:r>
      <w:r w:rsidRPr="007C7FA4">
        <w:rPr>
          <w:rFonts w:ascii="Cambria" w:hAnsi="Cambria"/>
          <w:b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/>
          <w:bCs/>
          <w:i/>
          <w:iCs/>
          <w:sz w:val="24"/>
          <w:szCs w:val="24"/>
        </w:rPr>
        <w:t>instituições</w:t>
      </w:r>
      <w:r w:rsidRPr="00E67C1C">
        <w:rPr>
          <w:rFonts w:ascii="Cambria" w:hAnsi="Cambria"/>
          <w:b/>
          <w:bCs/>
          <w:i/>
          <w:iCs/>
          <w:sz w:val="24"/>
          <w:szCs w:val="24"/>
        </w:rPr>
        <w:t xml:space="preserve"> semelhante</w:t>
      </w:r>
      <w:r>
        <w:rPr>
          <w:rFonts w:ascii="Cambria" w:hAnsi="Cambria"/>
          <w:b/>
          <w:bCs/>
          <w:i/>
          <w:iCs/>
          <w:sz w:val="24"/>
          <w:szCs w:val="24"/>
        </w:rPr>
        <w:t xml:space="preserve">s ao Provedor de Justiça. Nas associações abaixo indicadas poderá encontrar alguns contactos. </w:t>
      </w:r>
    </w:p>
    <w:p w14:paraId="76F25026" w14:textId="77777777" w:rsidR="00A70FC2" w:rsidRDefault="00A70FC2" w:rsidP="00A70FC2">
      <w:pPr>
        <w:spacing w:after="0" w:line="360" w:lineRule="auto"/>
        <w:jc w:val="both"/>
      </w:pPr>
    </w:p>
    <w:p w14:paraId="48F9C335" w14:textId="77777777" w:rsidR="00A70FC2" w:rsidRDefault="00A70FC2" w:rsidP="00A70FC2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hyperlink r:id="rId45" w:history="1">
        <w:r w:rsidRPr="002C2328">
          <w:rPr>
            <w:rStyle w:val="Hiperligao"/>
            <w:rFonts w:ascii="Cambria" w:hAnsi="Cambria"/>
            <w:sz w:val="24"/>
            <w:szCs w:val="24"/>
          </w:rPr>
          <w:t xml:space="preserve">AOM </w:t>
        </w:r>
        <w:r w:rsidRPr="002C2328">
          <w:rPr>
            <w:rStyle w:val="Hiperligao"/>
            <w:rFonts w:ascii="Cambria" w:hAnsi="Cambria"/>
            <w:sz w:val="24"/>
            <w:szCs w:val="24"/>
          </w:rPr>
          <w:softHyphen/>
          <w:t>– Associação de Ombudsman do Mediterrâneo</w:t>
        </w:r>
      </w:hyperlink>
    </w:p>
    <w:p w14:paraId="30C29668" w14:textId="77777777" w:rsidR="00A70FC2" w:rsidRPr="002C2328" w:rsidRDefault="00A70FC2" w:rsidP="00A70FC2">
      <w:pPr>
        <w:spacing w:after="0" w:line="360" w:lineRule="auto"/>
        <w:contextualSpacing/>
        <w:jc w:val="both"/>
        <w:rPr>
          <w:rFonts w:ascii="Cambria" w:hAnsi="Cambria"/>
          <w:sz w:val="24"/>
          <w:szCs w:val="24"/>
        </w:rPr>
      </w:pPr>
      <w:hyperlink r:id="rId46" w:history="1">
        <w:r w:rsidRPr="00BE34B5">
          <w:rPr>
            <w:rStyle w:val="Hiperligao"/>
            <w:rFonts w:ascii="Cambria" w:hAnsi="Cambria"/>
            <w:sz w:val="24"/>
            <w:szCs w:val="24"/>
          </w:rPr>
          <w:t>FIO – Federação Ibero Americana de Ombudsman</w:t>
        </w:r>
      </w:hyperlink>
      <w:r w:rsidRPr="002C2328">
        <w:rPr>
          <w:rFonts w:ascii="Cambria" w:hAnsi="Cambria"/>
          <w:sz w:val="24"/>
          <w:szCs w:val="24"/>
        </w:rPr>
        <w:t xml:space="preserve"> </w:t>
      </w:r>
    </w:p>
    <w:p w14:paraId="3410D891" w14:textId="77777777" w:rsidR="00A70FC2" w:rsidRPr="002C2328" w:rsidRDefault="00A70FC2" w:rsidP="00A70FC2">
      <w:pPr>
        <w:spacing w:after="0" w:line="360" w:lineRule="auto"/>
        <w:jc w:val="both"/>
        <w:rPr>
          <w:rFonts w:ascii="Cambria" w:eastAsia="Calibri" w:hAnsi="Cambria" w:cs="Calibri"/>
          <w:sz w:val="24"/>
          <w:szCs w:val="24"/>
        </w:rPr>
      </w:pPr>
      <w:hyperlink r:id="rId47" w:history="1">
        <w:r w:rsidRPr="00BE34B5">
          <w:rPr>
            <w:rStyle w:val="Hiperligao"/>
            <w:rFonts w:ascii="Cambria" w:hAnsi="Cambria"/>
            <w:sz w:val="24"/>
            <w:szCs w:val="24"/>
          </w:rPr>
          <w:t>IOI – Instituto Internacional de Ombudsman</w:t>
        </w:r>
      </w:hyperlink>
      <w:r w:rsidRPr="002C2328">
        <w:rPr>
          <w:rFonts w:ascii="Cambria" w:hAnsi="Cambria"/>
          <w:sz w:val="24"/>
          <w:szCs w:val="24"/>
        </w:rPr>
        <w:t xml:space="preserve"> </w:t>
      </w:r>
    </w:p>
    <w:p w14:paraId="055102C7" w14:textId="77777777" w:rsidR="00A70FC2" w:rsidRPr="002C2328" w:rsidRDefault="00A70FC2" w:rsidP="00A70FC2">
      <w:pPr>
        <w:spacing w:after="0" w:line="360" w:lineRule="auto"/>
        <w:contextualSpacing/>
        <w:jc w:val="both"/>
        <w:rPr>
          <w:rFonts w:ascii="Cambria" w:hAnsi="Cambria"/>
          <w:sz w:val="24"/>
          <w:szCs w:val="24"/>
        </w:rPr>
      </w:pPr>
      <w:hyperlink r:id="rId48" w:history="1">
        <w:r w:rsidRPr="002C2328">
          <w:rPr>
            <w:rStyle w:val="Hiperligao"/>
            <w:rFonts w:ascii="Cambria" w:hAnsi="Cambria"/>
            <w:sz w:val="24"/>
            <w:szCs w:val="24"/>
          </w:rPr>
          <w:t>Rede Europeia de Provedores de Justiça</w:t>
        </w:r>
      </w:hyperlink>
    </w:p>
    <w:p w14:paraId="0FE44671" w14:textId="77777777" w:rsidR="00A70FC2" w:rsidRPr="003617A9" w:rsidRDefault="00A70FC2" w:rsidP="00A70FC2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</w:p>
    <w:bookmarkEnd w:id="5"/>
    <w:p w14:paraId="436F0EBA" w14:textId="77777777" w:rsidR="00A70FC2" w:rsidRPr="002071A1" w:rsidRDefault="00A70FC2" w:rsidP="00A70FC2">
      <w:pPr>
        <w:spacing w:after="0" w:line="360" w:lineRule="auto"/>
        <w:jc w:val="both"/>
        <w:rPr>
          <w:rFonts w:ascii="Cambria" w:hAnsi="Cambria"/>
        </w:rPr>
      </w:pPr>
    </w:p>
    <w:p w14:paraId="1694DFD2" w14:textId="77777777" w:rsidR="00A70FC2" w:rsidRDefault="00A70FC2" w:rsidP="00A70FC2"/>
    <w:p w14:paraId="0188EC0A" w14:textId="77777777" w:rsidR="004C0328" w:rsidRDefault="004C0328"/>
    <w:sectPr w:rsidR="004C0328">
      <w:headerReference w:type="even" r:id="rId49"/>
      <w:headerReference w:type="default" r:id="rId50"/>
      <w:footerReference w:type="even" r:id="rId51"/>
      <w:footerReference w:type="default" r:id="rId52"/>
      <w:headerReference w:type="first" r:id="rId53"/>
      <w:footerReference w:type="first" r:id="rId5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l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A51B9" w14:textId="77777777" w:rsidR="008E1919" w:rsidRDefault="0000000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F862D" w14:textId="77777777" w:rsidR="008E1919" w:rsidRDefault="0000000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DA247" w14:textId="77777777" w:rsidR="008E1919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B447E" w14:textId="77777777" w:rsidR="008E1919" w:rsidRDefault="0000000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2ED0F" w14:textId="77777777" w:rsidR="003675B5" w:rsidRPr="00195BA2" w:rsidRDefault="00000000" w:rsidP="003675B5">
    <w:pPr>
      <w:pStyle w:val="Cabealho"/>
      <w:jc w:val="right"/>
      <w:rPr>
        <w:i/>
        <w:iCs/>
      </w:rPr>
    </w:pPr>
    <w:r w:rsidRPr="00195BA2">
      <w:rPr>
        <w:i/>
        <w:iCs/>
      </w:rPr>
      <w:t>Versão 11 de outubro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8EA87" w14:textId="77777777" w:rsidR="008E1919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71145"/>
    <w:multiLevelType w:val="hybridMultilevel"/>
    <w:tmpl w:val="7F6E22CC"/>
    <w:lvl w:ilvl="0" w:tplc="08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3777210D"/>
    <w:multiLevelType w:val="hybridMultilevel"/>
    <w:tmpl w:val="553C5530"/>
    <w:lvl w:ilvl="0" w:tplc="3174C0B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  <w:b/>
        <w:color w:val="auto"/>
        <w:sz w:val="24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428207">
    <w:abstractNumId w:val="0"/>
  </w:num>
  <w:num w:numId="2" w16cid:durableId="57946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FC2"/>
    <w:rsid w:val="004C0328"/>
    <w:rsid w:val="00A7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FF6EA"/>
  <w15:chartTrackingRefBased/>
  <w15:docId w15:val="{55F63C3F-9F24-4293-9850-E0F39CAF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FC2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A70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70FC2"/>
  </w:style>
  <w:style w:type="paragraph" w:styleId="Rodap">
    <w:name w:val="footer"/>
    <w:basedOn w:val="Normal"/>
    <w:link w:val="RodapCarter"/>
    <w:uiPriority w:val="99"/>
    <w:unhideWhenUsed/>
    <w:rsid w:val="00A70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70FC2"/>
  </w:style>
  <w:style w:type="character" w:styleId="Hiperligao">
    <w:name w:val="Hyperlink"/>
    <w:basedOn w:val="Tipodeletrapredefinidodopargrafo"/>
    <w:uiPriority w:val="99"/>
    <w:unhideWhenUsed/>
    <w:rsid w:val="00A70FC2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A70F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sae.gov.pt/" TargetMode="External"/><Relationship Id="rId18" Type="http://schemas.openxmlformats.org/officeDocument/2006/relationships/hyperlink" Target="http://business.turismodeportugal.pt/pt/Planear_Iniciar/Como_comecar/Agencias_Viagem_Turismo/Paginas/Fundo-de-Garantia-de-Viagens-e-Turismo-FGVT-informacao-ao-consumidor.aspx" TargetMode="External"/><Relationship Id="rId26" Type="http://schemas.openxmlformats.org/officeDocument/2006/relationships/hyperlink" Target="http://www.cmvm.pt/pt/" TargetMode="External"/><Relationship Id="rId39" Type="http://schemas.openxmlformats.org/officeDocument/2006/relationships/hyperlink" Target="https://coj.justica.gov.pt/" TargetMode="External"/><Relationship Id="rId21" Type="http://schemas.openxmlformats.org/officeDocument/2006/relationships/hyperlink" Target="https://www.iefp.pt/" TargetMode="External"/><Relationship Id="rId34" Type="http://schemas.openxmlformats.org/officeDocument/2006/relationships/hyperlink" Target="https://dgpj.justica.gov.pt/Resolucao-de-Litigios/Julgados-de-Paz/Encontrar-um-Julgado-de-Paz" TargetMode="External"/><Relationship Id="rId42" Type="http://schemas.openxmlformats.org/officeDocument/2006/relationships/hyperlink" Target="https://www.ombudsman.europa.eu/pt/home" TargetMode="External"/><Relationship Id="rId47" Type="http://schemas.openxmlformats.org/officeDocument/2006/relationships/hyperlink" Target="https://www.theioi.org/ioi-members/all-regions" TargetMode="External"/><Relationship Id="rId50" Type="http://schemas.openxmlformats.org/officeDocument/2006/relationships/header" Target="header2.xml"/><Relationship Id="rId55" Type="http://schemas.openxmlformats.org/officeDocument/2006/relationships/fontTable" Target="fontTable.xml"/><Relationship Id="rId7" Type="http://schemas.openxmlformats.org/officeDocument/2006/relationships/hyperlink" Target="https://portal.azores.gov.pt/web/ersara" TargetMode="External"/><Relationship Id="rId12" Type="http://schemas.openxmlformats.org/officeDocument/2006/relationships/hyperlink" Target="https://www.madeira.gov.pt/cacc/Estrutura/O-Centro-de-Arbitragem" TargetMode="External"/><Relationship Id="rId17" Type="http://schemas.openxmlformats.org/officeDocument/2006/relationships/hyperlink" Target="http://business.turismodeportugal.pt/pt/noticias/Paginas/turismo-de-portugal-lanca-plataforma-que-agiliza-processos-fgvt.aspx" TargetMode="External"/><Relationship Id="rId25" Type="http://schemas.openxmlformats.org/officeDocument/2006/relationships/hyperlink" Target="https://www.bportugal.pt/" TargetMode="External"/><Relationship Id="rId33" Type="http://schemas.openxmlformats.org/officeDocument/2006/relationships/hyperlink" Target="https://tribunais.org.pt/Dividas/Procedimento-de-injuncao" TargetMode="External"/><Relationship Id="rId38" Type="http://schemas.openxmlformats.org/officeDocument/2006/relationships/hyperlink" Target="http://www.cstaf.pt/" TargetMode="External"/><Relationship Id="rId46" Type="http://schemas.openxmlformats.org/officeDocument/2006/relationships/hyperlink" Target="http://www.portalfio.org/miembros_regiones/nacionale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ncorrencia.pt/" TargetMode="External"/><Relationship Id="rId20" Type="http://schemas.openxmlformats.org/officeDocument/2006/relationships/hyperlink" Target="http://cite.gov.pt/" TargetMode="External"/><Relationship Id="rId29" Type="http://schemas.openxmlformats.org/officeDocument/2006/relationships/hyperlink" Target="https://www.seg-social.pt/documents/10152/15011/9001_protecao_juridica/62d239b3-7881-4c5b-a32c-cd663888a4a5" TargetMode="External"/><Relationship Id="rId41" Type="http://schemas.openxmlformats.org/officeDocument/2006/relationships/hyperlink" Target="https://www.osae.pt/pt/pag/OSAE/Queixa-eletr%C3%B3nica/1/1/1/641" TargetMode="External"/><Relationship Id="rId54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hyperlink" Target="https://www.ersar.pt/pt" TargetMode="External"/><Relationship Id="rId11" Type="http://schemas.openxmlformats.org/officeDocument/2006/relationships/hyperlink" Target="https://www.consumidor.gov.pt/consumidor_4/-conflitos-de-consumo.aspx" TargetMode="External"/><Relationship Id="rId24" Type="http://schemas.openxmlformats.org/officeDocument/2006/relationships/hyperlink" Target="https://www.asf.com.pt/isp/PortalConsumidor/Reclamacoes" TargetMode="External"/><Relationship Id="rId32" Type="http://schemas.openxmlformats.org/officeDocument/2006/relationships/hyperlink" Target="https://bna.mj.pt/" TargetMode="External"/><Relationship Id="rId37" Type="http://schemas.openxmlformats.org/officeDocument/2006/relationships/hyperlink" Target="http://www.ministeriopublico.pt/pagina/conselho-superior-do-ministerio-publico" TargetMode="External"/><Relationship Id="rId40" Type="http://schemas.openxmlformats.org/officeDocument/2006/relationships/hyperlink" Target="https://portal.oa.pt/" TargetMode="External"/><Relationship Id="rId45" Type="http://schemas.openxmlformats.org/officeDocument/2006/relationships/hyperlink" Target="https://ombudsman-med.org/cartes-des-membres/" TargetMode="External"/><Relationship Id="rId53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portal.azores.gov.pt/web/irae" TargetMode="External"/><Relationship Id="rId23" Type="http://schemas.openxmlformats.org/officeDocument/2006/relationships/hyperlink" Target="https://www.asf.com.pt/NR/exeres/97C24D91-5FD7-4874-9D7D-FFE049D206D9.htm" TargetMode="External"/><Relationship Id="rId28" Type="http://schemas.openxmlformats.org/officeDocument/2006/relationships/hyperlink" Target="https://justica.gov.pt/Guias/como-pedir-apoio-judiciario" TargetMode="External"/><Relationship Id="rId36" Type="http://schemas.openxmlformats.org/officeDocument/2006/relationships/hyperlink" Target="https://www.csm.org.pt/" TargetMode="External"/><Relationship Id="rId49" Type="http://schemas.openxmlformats.org/officeDocument/2006/relationships/header" Target="header1.xml"/><Relationship Id="rId10" Type="http://schemas.openxmlformats.org/officeDocument/2006/relationships/hyperlink" Target="https://www.livroreclamacoes.pt/Inicio/" TargetMode="External"/><Relationship Id="rId19" Type="http://schemas.openxmlformats.org/officeDocument/2006/relationships/hyperlink" Target="http://www.act.gov.pt/" TargetMode="External"/><Relationship Id="rId31" Type="http://schemas.openxmlformats.org/officeDocument/2006/relationships/hyperlink" Target="https://caaj.justica.gov.pt/Comissao-de-Disciplina-dos-Auxiliares-da-Justica-CDAJ" TargetMode="External"/><Relationship Id="rId44" Type="http://schemas.openxmlformats.org/officeDocument/2006/relationships/hyperlink" Target="https://cec.consumidor.pt/" TargetMode="External"/><Relationship Id="rId52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anacom-consumidor.pt/" TargetMode="External"/><Relationship Id="rId14" Type="http://schemas.openxmlformats.org/officeDocument/2006/relationships/hyperlink" Target="https://www.madeira.gov.pt/arae" TargetMode="External"/><Relationship Id="rId22" Type="http://schemas.openxmlformats.org/officeDocument/2006/relationships/hyperlink" Target="https://www.ministeriopublico.pt/perguntas-frequentes/patrocinio-pelo-ministerio-publico" TargetMode="External"/><Relationship Id="rId27" Type="http://schemas.openxmlformats.org/officeDocument/2006/relationships/hyperlink" Target="https://www.mediadordocredito.pt/" TargetMode="External"/><Relationship Id="rId30" Type="http://schemas.openxmlformats.org/officeDocument/2006/relationships/hyperlink" Target="https://caaj.justica.gov.pt/" TargetMode="External"/><Relationship Id="rId35" Type="http://schemas.openxmlformats.org/officeDocument/2006/relationships/hyperlink" Target="http://www.conselhodosjulgadosdepaz.com.pt/" TargetMode="External"/><Relationship Id="rId43" Type="http://schemas.openxmlformats.org/officeDocument/2006/relationships/hyperlink" Target="https://ec.europa.eu/solvit/index_pt.htm" TargetMode="External"/><Relationship Id="rId48" Type="http://schemas.openxmlformats.org/officeDocument/2006/relationships/hyperlink" Target="https://www.ombudsman.europa.eu/pt/european-network-of-ombudsmen/members/all-members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www.erse.pt/inicio/" TargetMode="External"/><Relationship Id="rId51" Type="http://schemas.openxmlformats.org/officeDocument/2006/relationships/footer" Target="foot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  <FIELD type="AdditionalFields" label="Idade_LCCD" source-type="AdditionalFields">
        <TAG><![CDATA[#NOVOREGISTO:CA:Idade_LCCD#]]></TAG>
        <VALUE><![CDATA[#NOVOREGISTO:CA:Idade_LCCD#]]></VALUE>
        <XPATH><![CDATA[/CARD/FIELDS/FIELD[FIELD='Idade_LCCD']/VALUE]]></XPATH>
      </FIELD>
      <FIELD type="AdditionalFields" label="Nome_Interes" source-type="AdditionalFields">
        <TAG><![CDATA[#NOVOREGISTO:CA:Nome_Interes#]]></TAG>
        <VALUE><![CDATA[#NOVOREGISTO:CA:Nome_Interes#]]></VALUE>
        <XPATH><![CDATA[/CARD/FIELDS/FIELD[FIELD='Nome_Interes']/VALUE]]></XPATH>
      </FIELD>
      <FIELD type="AdditionalFields" label="Sintese" source-type="AdditionalFields">
        <TAG><![CDATA[#NOVOREGISTO:CA:Sintese#]]></TAG>
        <VALUE><![CDATA[#NOVOREGISTO:CA:Sintese#]]></VALUE>
        <XPATH><![CDATA[/CARD/FIELDS/FIELD[FIELD='Sintese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  <FIELD type="AdditionalFields" label="Idade_LCCD" source-type="AdditionalFields">
        <TAG><![CDATA[#PRIMEIROREGISTO:CA:Idade_LCCD#]]></TAG>
        <VALUE><![CDATA[#PRIMEIROREGISTO:CA:Idade_LCCD#]]></VALUE>
        <XPATH><![CDATA[/CARD/FIELDS/FIELD[NAME='Idade_LCCD']/VALUE]]></XPATH>
      </FIELD>
      <FIELD type="AdditionalFields" label="Nome_Interes" source-type="AdditionalFields">
        <TAG><![CDATA[#PRIMEIROREGISTO:CA:Nome_Interes#]]></TAG>
        <VALUE><![CDATA[#PRIMEIROREGISTO:CA:Nome_Interes#]]></VALUE>
        <XPATH><![CDATA[/CARD/FIELDS/FIELD[NAME='Nome_Interes']/VALUE]]></XPATH>
      </FIELD>
      <FIELD type="AdditionalFields" label="Sintese" source-type="AdditionalFields">
        <TAG><![CDATA[#PRIMEIROREGISTO:CA:Sintese#]]></TAG>
        <VALUE><![CDATA[#PRIMEIROREGISTO:CA:Sintese#]]></VALUE>
        <XPATH><![CDATA[/CARD/FIELDS/FIELD[NAME='Sintese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  <FIELD type="AdditionalFields" label="Idade_LCCD" source-type="AdditionalFields">
        <TAG><![CDATA[#PRIMEIROPROCESSO:CA:Idade_LCCD#]]></TAG>
        <VALUE><![CDATA[#PRIMEIROPROCESSO:CA:Idade_LCCD#]]></VALUE>
        <XPATH><![CDATA[/CARD/FIELDS/FIELD[NAME='Idade_LCCD']/VALUE]]></XPATH>
      </FIELD>
      <FIELD type="AdditionalFields" label="Nome_Interes" source-type="AdditionalFields">
        <TAG><![CDATA[#PRIMEIROPROCESSO:CA:Nome_Interes#]]></TAG>
        <VALUE><![CDATA[#PRIMEIROPROCESSO:CA:Nome_Interes#]]></VALUE>
        <XPATH><![CDATA[/CARD/FIELDS/FIELD[NAME='Nome_Interes']/VALUE]]></XPATH>
      </FIELD>
      <FIELD type="AdditionalFields" label="Sintese" source-type="AdditionalFields">
        <TAG><![CDATA[#PRIMEIROPROCESSO:CA:Sintese#]]></TAG>
        <VALUE><![CDATA[#PRIMEIROPROCESSO:CA:Sintese#]]></VALUE>
        <XPATH><![CDATA[/CARD/FIELDS/FIELD[NAME='Sintese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  <FIELD type="AdditionalFields" label="Idade_LCCD" source-type="AdditionalFields">
        <TAG><![CDATA[#REGISTO:CA:Idade_LCCD#]]></TAG>
        <VALUE><![CDATA[#REGISTO:CA:Idade_LCCD#]]></VALUE>
        <XPATH><![CDATA[/CARD/FIELDS/FIELD[NAME='Idade_LCCD']/VALUE]]></XPATH>
      </FIELD>
      <FIELD type="AdditionalFields" label="Nome_Interes" source-type="AdditionalFields">
        <TAG><![CDATA[#REGISTO:CA:Nome_Interes#]]></TAG>
        <VALUE><![CDATA[#REGISTO:CA:Nome_Interes#]]></VALUE>
        <XPATH><![CDATA[/CARD/FIELDS/FIELD[NAME='Nome_Interes']/VALUE]]></XPATH>
      </FIELD>
      <FIELD type="AdditionalFields" label="Sintese" source-type="AdditionalFields">
        <TAG><![CDATA[#REGISTO:CA:Sintese#]]></TAG>
        <VALUE><![CDATA[#REGISTO:CA:Sintese#]]></VALUE>
        <XPATH><![CDATA[/CARD/FIELDS/FIELD[NAME='Sintese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  <FIELD type="AdditionalFields" label="Idade_LCCD" source-type="AdditionalFields">
        <TAG><![CDATA[#CONTEXTPROCESS:CA:Idade_LCCD#]]></TAG>
        <VALUE><![CDATA[Idade_LCCD]]></VALUE>
        <XPATH><![CDATA[/PROCESS/FIELDS/FIELD[NAME='Idade_LCCD']/VALUE]]></XPATH>
      </FIELD>
      <FIELD type="AdditionalFields" label="Nome_Interes" source-type="AdditionalFields">
        <TAG><![CDATA[#CONTEXTPROCESS:CA:Nome_Interes#]]></TAG>
        <VALUE><![CDATA[Nome_Interes]]></VALUE>
        <XPATH><![CDATA[/PROCESS/FIELDS/FIELD[NAME='Nome_Interes']/VALUE]]></XPATH>
      </FIELD>
      <FIELD type="AdditionalFields" label="Sintese" source-type="AdditionalFields">
        <TAG><![CDATA[#CONTEXTPROCESS:CA:Sintese#]]></TAG>
        <VALUE><![CDATA[Sintese]]></VALUE>
        <XPATH><![CDATA[/PROCESS/FIELDS/FIELD[NAME='Sintese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3C84EAC5-9ADF-4369-9678-3F25E69216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1993</Words>
  <Characters>10764</Characters>
  <Application>Microsoft Office Word</Application>
  <DocSecurity>0</DocSecurity>
  <Lines>89</Lines>
  <Paragraphs>25</Paragraphs>
  <ScaleCrop>false</ScaleCrop>
  <Company/>
  <LinksUpToDate>false</LinksUpToDate>
  <CharactersWithSpaces>12732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Gaspar</dc:creator>
  <cp:keywords/>
  <dc:description/>
  <cp:lastModifiedBy>Eva Gaspar</cp:lastModifiedBy>
  <cp:revision>1</cp:revision>
  <dcterms:created xsi:type="dcterms:W3CDTF">2022-10-21T16:28:00Z</dcterms:created>
  <dcterms:modified xsi:type="dcterms:W3CDTF">2022-10-21T16:28:00Z</dcterms:modified>
</cp:coreProperties>
</file>