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05B9F" w14:textId="3993389A" w:rsidR="004A5EF2" w:rsidRDefault="00A77778" w:rsidP="00A77778">
      <w:pPr>
        <w:shd w:val="clear" w:color="auto" w:fill="FFFFFF"/>
        <w:spacing w:after="185" w:line="240" w:lineRule="auto"/>
        <w:outlineLvl w:val="2"/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</w:pPr>
      <w:r w:rsidRPr="00A77778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Relatório 202</w:t>
      </w:r>
      <w:r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1</w:t>
      </w:r>
      <w:r w:rsidRPr="00A77778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: </w:t>
      </w:r>
      <w:r w:rsidR="00A30770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P</w:t>
      </w:r>
      <w:r w:rsidRPr="00A77778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rocessos instruídos sobem </w:t>
      </w:r>
      <w:r w:rsidR="003A7F2C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6%</w:t>
      </w:r>
      <w:r w:rsidRPr="00A77778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 para novo </w:t>
      </w:r>
      <w:r w:rsidR="00A30770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máximo</w:t>
      </w:r>
      <w:r w:rsidRPr="00A77778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. </w:t>
      </w:r>
      <w:r w:rsidR="00E24D6E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P</w:t>
      </w:r>
      <w:r w:rsidR="00036464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roteção </w:t>
      </w:r>
      <w:proofErr w:type="gramStart"/>
      <w:r w:rsidR="00A95586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S</w:t>
      </w:r>
      <w:r w:rsidR="00036464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ocial</w:t>
      </w:r>
      <w:proofErr w:type="gramEnd"/>
      <w:r w:rsidR="00036464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 </w:t>
      </w:r>
      <w:r w:rsidR="00E24D6E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lidera queixas</w:t>
      </w:r>
      <w:r w:rsidR="001802DD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 </w:t>
      </w:r>
      <w:r w:rsidR="00521301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e </w:t>
      </w:r>
      <w:r w:rsidR="001802DD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Saúde regista forte crescimento</w:t>
      </w:r>
      <w:r w:rsidR="00E24D6E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. </w:t>
      </w:r>
      <w:r w:rsidR="00036464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Acolhimento de estrangeiros mantém </w:t>
      </w:r>
      <w:r w:rsidR="00790762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>graves</w:t>
      </w:r>
      <w:r w:rsidR="00036464" w:rsidRPr="0045478F"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  <w:t xml:space="preserve"> deficiências</w:t>
      </w:r>
    </w:p>
    <w:p w14:paraId="5FEF2EEE" w14:textId="77777777" w:rsidR="0045478F" w:rsidRPr="00A77778" w:rsidRDefault="0045478F" w:rsidP="00A77778">
      <w:pPr>
        <w:shd w:val="clear" w:color="auto" w:fill="FFFFFF"/>
        <w:spacing w:after="185" w:line="240" w:lineRule="auto"/>
        <w:outlineLvl w:val="2"/>
        <w:rPr>
          <w:rFonts w:ascii="Cambria" w:eastAsia="Times New Roman" w:hAnsi="Cambria" w:cs="Times New Roman"/>
          <w:b/>
          <w:bCs/>
          <w:color w:val="49494B"/>
          <w:sz w:val="28"/>
          <w:szCs w:val="28"/>
          <w:lang w:eastAsia="pt-PT"/>
        </w:rPr>
      </w:pPr>
    </w:p>
    <w:p w14:paraId="443D6778" w14:textId="01A31484" w:rsidR="006842CB" w:rsidRPr="00A95586" w:rsidRDefault="005C2A40" w:rsidP="00A95586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Em 2021 foi instruído</w:t>
      </w:r>
      <w:r w:rsidR="006842CB" w:rsidRPr="00A95586">
        <w:rPr>
          <w:rFonts w:ascii="Cambria" w:hAnsi="Cambria"/>
          <w:sz w:val="28"/>
          <w:szCs w:val="28"/>
        </w:rPr>
        <w:t xml:space="preserve"> um volume recorde de 12 219 novos processos, em resultado de uma subida anual</w:t>
      </w:r>
      <w:r w:rsidR="00877C51" w:rsidRPr="00A95586">
        <w:rPr>
          <w:rFonts w:ascii="Cambria" w:hAnsi="Cambria"/>
          <w:sz w:val="28"/>
          <w:szCs w:val="28"/>
        </w:rPr>
        <w:t xml:space="preserve"> d</w:t>
      </w:r>
      <w:r>
        <w:rPr>
          <w:rFonts w:ascii="Cambria" w:hAnsi="Cambria"/>
          <w:sz w:val="28"/>
          <w:szCs w:val="28"/>
        </w:rPr>
        <w:t>e</w:t>
      </w:r>
      <w:r w:rsidR="001802DD">
        <w:rPr>
          <w:rFonts w:ascii="Cambria" w:hAnsi="Cambria"/>
          <w:sz w:val="28"/>
          <w:szCs w:val="28"/>
        </w:rPr>
        <w:t xml:space="preserve"> 6% do número</w:t>
      </w:r>
      <w:r w:rsidR="00877C51" w:rsidRPr="00A95586">
        <w:rPr>
          <w:rFonts w:ascii="Cambria" w:hAnsi="Cambria"/>
          <w:sz w:val="28"/>
          <w:szCs w:val="28"/>
        </w:rPr>
        <w:t xml:space="preserve"> </w:t>
      </w:r>
      <w:r w:rsidR="001802DD">
        <w:rPr>
          <w:rFonts w:ascii="Cambria" w:hAnsi="Cambria"/>
          <w:sz w:val="28"/>
          <w:szCs w:val="28"/>
        </w:rPr>
        <w:t xml:space="preserve">de </w:t>
      </w:r>
      <w:r w:rsidR="00877C51" w:rsidRPr="00A95586">
        <w:rPr>
          <w:rFonts w:ascii="Cambria" w:hAnsi="Cambria"/>
          <w:sz w:val="28"/>
          <w:szCs w:val="28"/>
        </w:rPr>
        <w:t>queixas admitidas</w:t>
      </w:r>
      <w:r w:rsidR="006842CB" w:rsidRPr="00A95586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[</w:t>
      </w:r>
      <w:r w:rsidR="006842CB" w:rsidRPr="00A95586">
        <w:rPr>
          <w:rFonts w:ascii="Cambria" w:hAnsi="Cambria"/>
          <w:sz w:val="28"/>
          <w:szCs w:val="28"/>
        </w:rPr>
        <w:t>menos acentuada do que a verificada no ano anterior (18%)</w:t>
      </w:r>
      <w:r w:rsidR="00C238A4">
        <w:rPr>
          <w:rFonts w:ascii="Cambria" w:hAnsi="Cambria"/>
          <w:sz w:val="28"/>
          <w:szCs w:val="28"/>
        </w:rPr>
        <w:t>]</w:t>
      </w:r>
      <w:r w:rsidR="006842CB" w:rsidRPr="00A95586">
        <w:rPr>
          <w:rFonts w:ascii="Cambria" w:hAnsi="Cambria"/>
          <w:sz w:val="28"/>
          <w:szCs w:val="28"/>
        </w:rPr>
        <w:t>. Tomando por base o ano de 2017, início do primeiro mandato d</w:t>
      </w:r>
      <w:r w:rsidR="00C238A4">
        <w:rPr>
          <w:rFonts w:ascii="Cambria" w:hAnsi="Cambria"/>
          <w:sz w:val="28"/>
          <w:szCs w:val="28"/>
        </w:rPr>
        <w:t>a atual Provedora de Justiça,</w:t>
      </w:r>
      <w:r w:rsidR="006842CB" w:rsidRPr="00A95586">
        <w:rPr>
          <w:rFonts w:ascii="Cambria" w:hAnsi="Cambria"/>
          <w:sz w:val="28"/>
          <w:szCs w:val="28"/>
        </w:rPr>
        <w:t xml:space="preserve"> Maria Lúcia Amaral, o crescimento acumulado do número de </w:t>
      </w:r>
      <w:r w:rsidR="00A7793A" w:rsidRPr="00A95586">
        <w:rPr>
          <w:rFonts w:ascii="Cambria" w:hAnsi="Cambria"/>
          <w:sz w:val="28"/>
          <w:szCs w:val="28"/>
        </w:rPr>
        <w:t xml:space="preserve">novas </w:t>
      </w:r>
      <w:r w:rsidR="006842CB" w:rsidRPr="00A95586">
        <w:rPr>
          <w:rFonts w:ascii="Cambria" w:hAnsi="Cambria"/>
          <w:sz w:val="28"/>
          <w:szCs w:val="28"/>
        </w:rPr>
        <w:t>queixas processadas é de 57%</w:t>
      </w:r>
      <w:r w:rsidR="00C238A4">
        <w:rPr>
          <w:rFonts w:ascii="Cambria" w:hAnsi="Cambria"/>
          <w:sz w:val="28"/>
          <w:szCs w:val="28"/>
        </w:rPr>
        <w:t>.</w:t>
      </w:r>
    </w:p>
    <w:p w14:paraId="62FDA657" w14:textId="7D168816" w:rsidR="000E14B8" w:rsidRPr="00A95586" w:rsidRDefault="00E24D6E" w:rsidP="00A95586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 xml:space="preserve">Foi ainda </w:t>
      </w:r>
      <w:r w:rsidR="00BF4024" w:rsidRPr="00A95586">
        <w:rPr>
          <w:rFonts w:ascii="Cambria" w:hAnsi="Cambria"/>
          <w:sz w:val="28"/>
          <w:szCs w:val="28"/>
        </w:rPr>
        <w:t>regist</w:t>
      </w:r>
      <w:r w:rsidRPr="00A95586">
        <w:rPr>
          <w:rFonts w:ascii="Cambria" w:hAnsi="Cambria"/>
          <w:sz w:val="28"/>
          <w:szCs w:val="28"/>
        </w:rPr>
        <w:t>ado</w:t>
      </w:r>
      <w:r w:rsidR="00BF4024" w:rsidRPr="00A95586">
        <w:rPr>
          <w:rFonts w:ascii="Cambria" w:hAnsi="Cambria"/>
          <w:sz w:val="28"/>
          <w:szCs w:val="28"/>
        </w:rPr>
        <w:t xml:space="preserve"> um novo valor máximo de 21 259 solicitações</w:t>
      </w:r>
      <w:r w:rsidR="00A7793A" w:rsidRPr="00A95586">
        <w:rPr>
          <w:rFonts w:ascii="Cambria" w:hAnsi="Cambria"/>
          <w:sz w:val="28"/>
          <w:szCs w:val="28"/>
        </w:rPr>
        <w:t xml:space="preserve"> dirigidas ao </w:t>
      </w:r>
      <w:hyperlink r:id="rId7" w:history="1">
        <w:r w:rsidR="00A7793A" w:rsidRPr="00A95586">
          <w:rPr>
            <w:rStyle w:val="Hiperligao"/>
            <w:rFonts w:ascii="Cambria" w:hAnsi="Cambria"/>
            <w:sz w:val="28"/>
            <w:szCs w:val="28"/>
          </w:rPr>
          <w:t>Provedor de Justiça</w:t>
        </w:r>
      </w:hyperlink>
      <w:r w:rsidR="00BF4024" w:rsidRPr="00A95586">
        <w:rPr>
          <w:rFonts w:ascii="Cambria" w:hAnsi="Cambria"/>
          <w:sz w:val="28"/>
          <w:szCs w:val="28"/>
        </w:rPr>
        <w:t xml:space="preserve">, onde se incluem 2 865 chamadas recebidas nas linhas telefónicas especialmente dedicadas a </w:t>
      </w:r>
      <w:r w:rsidR="00452906">
        <w:rPr>
          <w:rFonts w:ascii="Cambria" w:hAnsi="Cambria"/>
          <w:sz w:val="28"/>
          <w:szCs w:val="28"/>
        </w:rPr>
        <w:t>C</w:t>
      </w:r>
      <w:r w:rsidR="00BF4024" w:rsidRPr="00A95586">
        <w:rPr>
          <w:rFonts w:ascii="Cambria" w:hAnsi="Cambria"/>
          <w:sz w:val="28"/>
          <w:szCs w:val="28"/>
        </w:rPr>
        <w:t xml:space="preserve">rianças, </w:t>
      </w:r>
      <w:r w:rsidR="00452906">
        <w:rPr>
          <w:rFonts w:ascii="Cambria" w:hAnsi="Cambria"/>
          <w:sz w:val="28"/>
          <w:szCs w:val="28"/>
        </w:rPr>
        <w:t>I</w:t>
      </w:r>
      <w:r w:rsidR="00BF4024" w:rsidRPr="00A95586">
        <w:rPr>
          <w:rFonts w:ascii="Cambria" w:hAnsi="Cambria"/>
          <w:sz w:val="28"/>
          <w:szCs w:val="28"/>
        </w:rPr>
        <w:t xml:space="preserve">dosos e </w:t>
      </w:r>
      <w:r w:rsidR="00452906">
        <w:rPr>
          <w:rFonts w:ascii="Cambria" w:hAnsi="Cambria"/>
          <w:sz w:val="28"/>
          <w:szCs w:val="28"/>
        </w:rPr>
        <w:t>P</w:t>
      </w:r>
      <w:r w:rsidR="00BF4024" w:rsidRPr="00A95586">
        <w:rPr>
          <w:rFonts w:ascii="Cambria" w:hAnsi="Cambria"/>
          <w:sz w:val="28"/>
          <w:szCs w:val="28"/>
        </w:rPr>
        <w:t xml:space="preserve">essoas com </w:t>
      </w:r>
      <w:r w:rsidR="00452906">
        <w:rPr>
          <w:rFonts w:ascii="Cambria" w:hAnsi="Cambria"/>
          <w:sz w:val="28"/>
          <w:szCs w:val="28"/>
        </w:rPr>
        <w:t>D</w:t>
      </w:r>
      <w:r w:rsidR="00BF4024" w:rsidRPr="00A95586">
        <w:rPr>
          <w:rFonts w:ascii="Cambria" w:hAnsi="Cambria"/>
          <w:sz w:val="28"/>
          <w:szCs w:val="28"/>
        </w:rPr>
        <w:t>eficiência (N</w:t>
      </w:r>
      <w:r w:rsidR="00452906">
        <w:rPr>
          <w:rFonts w:ascii="Cambria" w:hAnsi="Cambria"/>
          <w:sz w:val="28"/>
          <w:szCs w:val="28"/>
        </w:rPr>
        <w:t>úcleo</w:t>
      </w:r>
      <w:r w:rsidR="00BF4024" w:rsidRPr="00A95586">
        <w:rPr>
          <w:rFonts w:ascii="Cambria" w:hAnsi="Cambria"/>
          <w:sz w:val="28"/>
          <w:szCs w:val="28"/>
        </w:rPr>
        <w:t>-CID).</w:t>
      </w:r>
    </w:p>
    <w:p w14:paraId="2F4F3B04" w14:textId="20837EAD" w:rsidR="007D7D82" w:rsidRPr="00A95586" w:rsidRDefault="00C238A4" w:rsidP="00A95586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O</w:t>
      </w:r>
      <w:r w:rsidR="00A77778" w:rsidRPr="00A95586">
        <w:rPr>
          <w:rFonts w:ascii="Cambria" w:hAnsi="Cambria"/>
          <w:sz w:val="28"/>
          <w:szCs w:val="28"/>
        </w:rPr>
        <w:t>s indicadores de atividade voltaram</w:t>
      </w:r>
      <w:r>
        <w:rPr>
          <w:rFonts w:ascii="Cambria" w:hAnsi="Cambria"/>
          <w:sz w:val="28"/>
          <w:szCs w:val="28"/>
        </w:rPr>
        <w:t>, deste modo,</w:t>
      </w:r>
      <w:r w:rsidR="00A95586" w:rsidRPr="00A95586">
        <w:rPr>
          <w:rFonts w:ascii="Cambria" w:hAnsi="Cambria"/>
          <w:sz w:val="28"/>
          <w:szCs w:val="28"/>
        </w:rPr>
        <w:t xml:space="preserve"> </w:t>
      </w:r>
      <w:r w:rsidR="00A77778" w:rsidRPr="00A95586">
        <w:rPr>
          <w:rFonts w:ascii="Cambria" w:hAnsi="Cambria"/>
          <w:sz w:val="28"/>
          <w:szCs w:val="28"/>
        </w:rPr>
        <w:t>a ser os mais elevados da história d</w:t>
      </w:r>
      <w:r w:rsidR="00024F72" w:rsidRPr="00A95586">
        <w:rPr>
          <w:rFonts w:ascii="Cambria" w:hAnsi="Cambria"/>
          <w:sz w:val="28"/>
          <w:szCs w:val="28"/>
        </w:rPr>
        <w:t xml:space="preserve">este </w:t>
      </w:r>
      <w:r w:rsidR="00A77778" w:rsidRPr="00A95586">
        <w:rPr>
          <w:rFonts w:ascii="Cambria" w:hAnsi="Cambria"/>
          <w:sz w:val="28"/>
          <w:szCs w:val="28"/>
        </w:rPr>
        <w:t>órgão do Estado independente</w:t>
      </w:r>
      <w:r w:rsidR="00024F72" w:rsidRPr="00A95586">
        <w:rPr>
          <w:rFonts w:ascii="Cambria" w:hAnsi="Cambria"/>
          <w:sz w:val="28"/>
          <w:szCs w:val="28"/>
        </w:rPr>
        <w:t>,</w:t>
      </w:r>
      <w:r w:rsidR="00A77778" w:rsidRPr="00A95586">
        <w:rPr>
          <w:rFonts w:ascii="Cambria" w:hAnsi="Cambria"/>
          <w:sz w:val="28"/>
          <w:szCs w:val="28"/>
        </w:rPr>
        <w:t xml:space="preserve"> criado em 1975 para defender as pessoas que se sintam prejudicadas por atos ou omissões injustos ou ilegais da administração ou outros pod</w:t>
      </w:r>
      <w:r w:rsidR="00024F72" w:rsidRPr="00A95586">
        <w:rPr>
          <w:rFonts w:ascii="Cambria" w:hAnsi="Cambria"/>
          <w:sz w:val="28"/>
          <w:szCs w:val="28"/>
        </w:rPr>
        <w:t>e</w:t>
      </w:r>
      <w:r w:rsidR="00A77778" w:rsidRPr="00A95586">
        <w:rPr>
          <w:rFonts w:ascii="Cambria" w:hAnsi="Cambria"/>
          <w:sz w:val="28"/>
          <w:szCs w:val="28"/>
        </w:rPr>
        <w:t>res públicos ou que vejam os seus direitos fundamentais violados.</w:t>
      </w:r>
    </w:p>
    <w:p w14:paraId="7E3A9A37" w14:textId="638653B1" w:rsidR="00A77778" w:rsidRPr="00A95586" w:rsidRDefault="00A77778" w:rsidP="00A95586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 xml:space="preserve">Estes dados constam do Relatório à Assembleia da República – 2021, hoje </w:t>
      </w:r>
      <w:r w:rsidR="000E14B8" w:rsidRPr="00A95586">
        <w:rPr>
          <w:rFonts w:ascii="Cambria" w:hAnsi="Cambria"/>
          <w:sz w:val="28"/>
          <w:szCs w:val="28"/>
        </w:rPr>
        <w:t xml:space="preserve">formalmente </w:t>
      </w:r>
      <w:r w:rsidRPr="00A95586">
        <w:rPr>
          <w:rFonts w:ascii="Cambria" w:hAnsi="Cambria"/>
          <w:sz w:val="28"/>
          <w:szCs w:val="28"/>
        </w:rPr>
        <w:t>entregue, acompanhado do relatório anual referente à atividade desenvolvida pela Provedora de Justiça enquanto MNP- Mecanismo Nacional de Prevenção da Tortura.</w:t>
      </w:r>
    </w:p>
    <w:p w14:paraId="277366C4" w14:textId="7AFA1607" w:rsidR="0096549C" w:rsidRDefault="00AC1A75" w:rsidP="00A95586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As matérias relacionadas com a Segurança Social</w:t>
      </w:r>
      <w:r w:rsidR="00511FE2">
        <w:rPr>
          <w:rFonts w:ascii="Cambria" w:hAnsi="Cambria"/>
          <w:sz w:val="28"/>
          <w:szCs w:val="28"/>
        </w:rPr>
        <w:t xml:space="preserve">, e </w:t>
      </w:r>
      <w:r w:rsidR="009248E0">
        <w:rPr>
          <w:rFonts w:ascii="Cambria" w:hAnsi="Cambria"/>
          <w:sz w:val="28"/>
          <w:szCs w:val="28"/>
        </w:rPr>
        <w:t>desempenho</w:t>
      </w:r>
      <w:r w:rsidR="00511FE2">
        <w:rPr>
          <w:rFonts w:ascii="Cambria" w:hAnsi="Cambria"/>
          <w:sz w:val="28"/>
          <w:szCs w:val="28"/>
        </w:rPr>
        <w:t xml:space="preserve"> dos seus Institutos,</w:t>
      </w:r>
      <w:r>
        <w:rPr>
          <w:rFonts w:ascii="Cambria" w:hAnsi="Cambria"/>
          <w:sz w:val="28"/>
          <w:szCs w:val="28"/>
        </w:rPr>
        <w:t xml:space="preserve"> permanecem</w:t>
      </w:r>
      <w:r w:rsidR="00C238A4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 xml:space="preserve">como o principal </w:t>
      </w:r>
      <w:r w:rsidR="009248E0">
        <w:rPr>
          <w:rFonts w:ascii="Cambria" w:hAnsi="Cambria"/>
          <w:sz w:val="28"/>
          <w:szCs w:val="28"/>
        </w:rPr>
        <w:t>objeto</w:t>
      </w:r>
      <w:r>
        <w:rPr>
          <w:rFonts w:ascii="Cambria" w:hAnsi="Cambria"/>
          <w:sz w:val="28"/>
          <w:szCs w:val="28"/>
        </w:rPr>
        <w:t xml:space="preserve"> </w:t>
      </w:r>
      <w:r w:rsidR="009248E0">
        <w:rPr>
          <w:rFonts w:ascii="Cambria" w:hAnsi="Cambria"/>
          <w:sz w:val="28"/>
          <w:szCs w:val="28"/>
        </w:rPr>
        <w:t>de</w:t>
      </w:r>
      <w:r>
        <w:rPr>
          <w:rFonts w:ascii="Cambria" w:hAnsi="Cambria"/>
          <w:sz w:val="28"/>
          <w:szCs w:val="28"/>
        </w:rPr>
        <w:t xml:space="preserve"> queixa</w:t>
      </w:r>
      <w:r w:rsidR="00C533BB">
        <w:rPr>
          <w:rFonts w:ascii="Cambria" w:hAnsi="Cambria"/>
          <w:sz w:val="28"/>
          <w:szCs w:val="28"/>
        </w:rPr>
        <w:t xml:space="preserve">, embora o seu peso relativo tenha descido </w:t>
      </w:r>
      <w:r w:rsidR="00C238A4" w:rsidRPr="00A95586">
        <w:rPr>
          <w:rFonts w:ascii="Cambria" w:hAnsi="Cambria"/>
          <w:sz w:val="28"/>
          <w:szCs w:val="28"/>
        </w:rPr>
        <w:t>de 30% para 27%</w:t>
      </w:r>
      <w:r w:rsidR="00511FE2">
        <w:rPr>
          <w:rFonts w:ascii="Cambria" w:hAnsi="Cambria"/>
          <w:sz w:val="28"/>
          <w:szCs w:val="28"/>
        </w:rPr>
        <w:t xml:space="preserve">, </w:t>
      </w:r>
      <w:r w:rsidR="0096549C" w:rsidRPr="00A95586">
        <w:rPr>
          <w:rFonts w:ascii="Cambria" w:hAnsi="Cambria"/>
          <w:sz w:val="28"/>
          <w:szCs w:val="28"/>
        </w:rPr>
        <w:t>o mesmo se</w:t>
      </w:r>
      <w:r w:rsidR="009248E0">
        <w:rPr>
          <w:rFonts w:ascii="Cambria" w:hAnsi="Cambria"/>
          <w:sz w:val="28"/>
          <w:szCs w:val="28"/>
        </w:rPr>
        <w:t xml:space="preserve"> tendo</w:t>
      </w:r>
      <w:r w:rsidR="0096549C" w:rsidRPr="00A95586">
        <w:rPr>
          <w:rFonts w:ascii="Cambria" w:hAnsi="Cambria"/>
          <w:sz w:val="28"/>
          <w:szCs w:val="28"/>
        </w:rPr>
        <w:t xml:space="preserve"> verificado n</w:t>
      </w:r>
      <w:r w:rsidR="00C238A4">
        <w:rPr>
          <w:rFonts w:ascii="Cambria" w:hAnsi="Cambria"/>
          <w:sz w:val="28"/>
          <w:szCs w:val="28"/>
        </w:rPr>
        <w:t>o peso das queixas</w:t>
      </w:r>
      <w:r w:rsidR="0096549C" w:rsidRPr="00A95586">
        <w:rPr>
          <w:rFonts w:ascii="Cambria" w:hAnsi="Cambria"/>
          <w:sz w:val="28"/>
          <w:szCs w:val="28"/>
        </w:rPr>
        <w:t xml:space="preserve"> sobre Fiscalidade (</w:t>
      </w:r>
      <w:r w:rsidR="00511FE2">
        <w:rPr>
          <w:rFonts w:ascii="Cambria" w:hAnsi="Cambria"/>
          <w:sz w:val="28"/>
          <w:szCs w:val="28"/>
        </w:rPr>
        <w:t>passou de</w:t>
      </w:r>
      <w:r w:rsidR="0096549C" w:rsidRPr="00A95586">
        <w:rPr>
          <w:rFonts w:ascii="Cambria" w:hAnsi="Cambria"/>
          <w:sz w:val="28"/>
          <w:szCs w:val="28"/>
        </w:rPr>
        <w:t xml:space="preserve"> 13% para 10% do total). A Relação de Emprego Público, mantendo embora a mesma proporção do ano anterior, </w:t>
      </w:r>
      <w:r w:rsidR="00511FE2">
        <w:rPr>
          <w:rFonts w:ascii="Cambria" w:hAnsi="Cambria"/>
          <w:sz w:val="28"/>
          <w:szCs w:val="28"/>
        </w:rPr>
        <w:t>surge agora acompanhada</w:t>
      </w:r>
      <w:r w:rsidR="0096549C" w:rsidRPr="00A95586">
        <w:rPr>
          <w:rFonts w:ascii="Cambria" w:hAnsi="Cambria"/>
          <w:sz w:val="28"/>
          <w:szCs w:val="28"/>
        </w:rPr>
        <w:t xml:space="preserve"> pelas </w:t>
      </w:r>
      <w:r w:rsidR="00511FE2">
        <w:rPr>
          <w:rFonts w:ascii="Cambria" w:hAnsi="Cambria"/>
          <w:sz w:val="28"/>
          <w:szCs w:val="28"/>
        </w:rPr>
        <w:t>matérias</w:t>
      </w:r>
      <w:r w:rsidR="0096549C" w:rsidRPr="00A95586">
        <w:rPr>
          <w:rFonts w:ascii="Cambria" w:hAnsi="Cambria"/>
          <w:sz w:val="28"/>
          <w:szCs w:val="28"/>
        </w:rPr>
        <w:t xml:space="preserve"> Económico-Financeira,</w:t>
      </w:r>
      <w:r w:rsidR="00024F72" w:rsidRPr="00A95586">
        <w:rPr>
          <w:rFonts w:ascii="Cambria" w:hAnsi="Cambria"/>
          <w:sz w:val="28"/>
          <w:szCs w:val="28"/>
        </w:rPr>
        <w:t xml:space="preserve"> que</w:t>
      </w:r>
      <w:r w:rsidR="0096549C" w:rsidRPr="00A95586">
        <w:rPr>
          <w:rFonts w:ascii="Cambria" w:hAnsi="Cambria"/>
          <w:sz w:val="28"/>
          <w:szCs w:val="28"/>
        </w:rPr>
        <w:t xml:space="preserve"> evidencia</w:t>
      </w:r>
      <w:r w:rsidR="00024F72" w:rsidRPr="00A95586">
        <w:rPr>
          <w:rFonts w:ascii="Cambria" w:hAnsi="Cambria"/>
          <w:sz w:val="28"/>
          <w:szCs w:val="28"/>
        </w:rPr>
        <w:t xml:space="preserve">ram </w:t>
      </w:r>
      <w:r w:rsidR="0096549C" w:rsidRPr="00A95586">
        <w:rPr>
          <w:rFonts w:ascii="Cambria" w:hAnsi="Cambria"/>
          <w:sz w:val="28"/>
          <w:szCs w:val="28"/>
        </w:rPr>
        <w:t xml:space="preserve">forte crescimento </w:t>
      </w:r>
      <w:r w:rsidR="00024F72" w:rsidRPr="00A95586">
        <w:rPr>
          <w:rFonts w:ascii="Cambria" w:hAnsi="Cambria"/>
          <w:sz w:val="28"/>
          <w:szCs w:val="28"/>
        </w:rPr>
        <w:t xml:space="preserve">no seu peso relativo </w:t>
      </w:r>
      <w:r w:rsidR="0096549C" w:rsidRPr="00A95586">
        <w:rPr>
          <w:rFonts w:ascii="Cambria" w:hAnsi="Cambria"/>
          <w:sz w:val="28"/>
          <w:szCs w:val="28"/>
        </w:rPr>
        <w:t xml:space="preserve">(subindo de 5% </w:t>
      </w:r>
      <w:r w:rsidR="009248E0">
        <w:rPr>
          <w:rFonts w:ascii="Cambria" w:hAnsi="Cambria"/>
          <w:sz w:val="28"/>
          <w:szCs w:val="28"/>
        </w:rPr>
        <w:t xml:space="preserve">em 2020 </w:t>
      </w:r>
      <w:r w:rsidR="0096549C" w:rsidRPr="00A95586">
        <w:rPr>
          <w:rFonts w:ascii="Cambria" w:hAnsi="Cambria"/>
          <w:sz w:val="28"/>
          <w:szCs w:val="28"/>
        </w:rPr>
        <w:t>para 8</w:t>
      </w:r>
      <w:r w:rsidR="00081FAD" w:rsidRPr="00A95586">
        <w:rPr>
          <w:rFonts w:ascii="Cambria" w:hAnsi="Cambria"/>
          <w:sz w:val="28"/>
          <w:szCs w:val="28"/>
        </w:rPr>
        <w:t>%</w:t>
      </w:r>
      <w:r w:rsidR="009248E0">
        <w:rPr>
          <w:rFonts w:ascii="Cambria" w:hAnsi="Cambria"/>
          <w:sz w:val="28"/>
          <w:szCs w:val="28"/>
        </w:rPr>
        <w:t xml:space="preserve"> em 2021</w:t>
      </w:r>
      <w:r w:rsidR="00081FAD" w:rsidRPr="00A95586">
        <w:rPr>
          <w:rFonts w:ascii="Cambria" w:hAnsi="Cambria"/>
          <w:sz w:val="28"/>
          <w:szCs w:val="28"/>
        </w:rPr>
        <w:t>).</w:t>
      </w:r>
    </w:p>
    <w:p w14:paraId="7E4D28BD" w14:textId="478D4030" w:rsidR="00514C1B" w:rsidRDefault="005B031C" w:rsidP="00A95586">
      <w:pPr>
        <w:rPr>
          <w:rFonts w:ascii="Cambria" w:hAnsi="Cambria"/>
          <w:sz w:val="28"/>
          <w:szCs w:val="28"/>
        </w:rPr>
      </w:pPr>
      <w:bookmarkStart w:id="0" w:name="_Hlk107500887"/>
      <w:r>
        <w:rPr>
          <w:noProof/>
        </w:rPr>
        <w:lastRenderedPageBreak/>
        <w:drawing>
          <wp:inline distT="0" distB="0" distL="0" distR="0" wp14:anchorId="6AD4DE1D" wp14:editId="1EB258B6">
            <wp:extent cx="6748549" cy="4472446"/>
            <wp:effectExtent l="0" t="0" r="0" b="444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0" t="29490" r="16233" b="27553"/>
                    <a:stretch/>
                  </pic:blipFill>
                  <pic:spPr bwMode="auto">
                    <a:xfrm>
                      <a:off x="0" y="0"/>
                      <a:ext cx="6814231" cy="45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5662EB" wp14:editId="13AE97A9">
            <wp:extent cx="5220970" cy="318387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07" t="25883" r="10233" b="15938"/>
                    <a:stretch/>
                  </pic:blipFill>
                  <pic:spPr bwMode="auto">
                    <a:xfrm>
                      <a:off x="0" y="0"/>
                      <a:ext cx="5298401" cy="3231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14:paraId="7FE79FFB" w14:textId="77777777" w:rsidR="004D07E4" w:rsidRPr="00A95586" w:rsidRDefault="004D07E4" w:rsidP="00A95586">
      <w:pPr>
        <w:rPr>
          <w:rFonts w:ascii="Cambria" w:hAnsi="Cambria"/>
          <w:sz w:val="28"/>
          <w:szCs w:val="28"/>
        </w:rPr>
      </w:pPr>
    </w:p>
    <w:p w14:paraId="080A2747" w14:textId="52492AEE" w:rsidR="0078511B" w:rsidRDefault="00E24D6E" w:rsidP="00514C1B">
      <w:pPr>
        <w:rPr>
          <w:rFonts w:ascii="Cambria" w:hAnsi="Cambria"/>
          <w:sz w:val="28"/>
          <w:szCs w:val="28"/>
        </w:rPr>
      </w:pPr>
      <w:bookmarkStart w:id="1" w:name="_Hlk107494963"/>
      <w:r w:rsidRPr="00A95586">
        <w:rPr>
          <w:rFonts w:ascii="Cambria" w:hAnsi="Cambria"/>
          <w:sz w:val="28"/>
          <w:szCs w:val="28"/>
        </w:rPr>
        <w:t>O</w:t>
      </w:r>
      <w:r w:rsidR="00C238A4">
        <w:rPr>
          <w:rFonts w:ascii="Cambria" w:hAnsi="Cambria"/>
          <w:sz w:val="28"/>
          <w:szCs w:val="28"/>
        </w:rPr>
        <w:t>lhando mais de perto, conclui-se que o</w:t>
      </w:r>
      <w:r w:rsidRPr="00A95586">
        <w:rPr>
          <w:rFonts w:ascii="Cambria" w:hAnsi="Cambria"/>
          <w:sz w:val="28"/>
          <w:szCs w:val="28"/>
        </w:rPr>
        <w:t xml:space="preserve"> ano de 2021 continuou a ser marcado pela pandemia por COVID-19</w:t>
      </w:r>
      <w:r w:rsidR="00C238A4">
        <w:rPr>
          <w:rFonts w:ascii="Cambria" w:hAnsi="Cambria"/>
          <w:sz w:val="28"/>
          <w:szCs w:val="28"/>
        </w:rPr>
        <w:t xml:space="preserve"> que </w:t>
      </w:r>
      <w:r w:rsidRPr="00A95586">
        <w:rPr>
          <w:rFonts w:ascii="Cambria" w:hAnsi="Cambria"/>
          <w:sz w:val="28"/>
          <w:szCs w:val="28"/>
        </w:rPr>
        <w:t>afet</w:t>
      </w:r>
      <w:r w:rsidR="00C238A4">
        <w:rPr>
          <w:rFonts w:ascii="Cambria" w:hAnsi="Cambria"/>
          <w:sz w:val="28"/>
          <w:szCs w:val="28"/>
        </w:rPr>
        <w:t>ou</w:t>
      </w:r>
      <w:r w:rsidRPr="00A95586">
        <w:rPr>
          <w:rFonts w:ascii="Cambria" w:hAnsi="Cambria"/>
          <w:sz w:val="28"/>
          <w:szCs w:val="28"/>
        </w:rPr>
        <w:t xml:space="preserve"> muitos sectores de atividade, trabalhadores, famílias e empresas, com reflexos no volume de queixas processadas sobre serviços públicos essenciais, transportes</w:t>
      </w:r>
      <w:r w:rsidR="004E68A8">
        <w:rPr>
          <w:rFonts w:ascii="Cambria" w:hAnsi="Cambria"/>
          <w:sz w:val="28"/>
          <w:szCs w:val="28"/>
        </w:rPr>
        <w:t>, habitação, registos e notariado e, muito em particular,</w:t>
      </w:r>
      <w:r w:rsidRPr="00A95586">
        <w:rPr>
          <w:rFonts w:ascii="Cambria" w:hAnsi="Cambria"/>
          <w:sz w:val="28"/>
          <w:szCs w:val="28"/>
        </w:rPr>
        <w:t xml:space="preserve"> </w:t>
      </w:r>
      <w:r w:rsidR="0078511B">
        <w:rPr>
          <w:rFonts w:ascii="Cambria" w:hAnsi="Cambria"/>
          <w:sz w:val="28"/>
          <w:szCs w:val="28"/>
        </w:rPr>
        <w:t>sobre diversas</w:t>
      </w:r>
      <w:r w:rsidR="004E68A8">
        <w:rPr>
          <w:rFonts w:ascii="Cambria" w:hAnsi="Cambria"/>
          <w:sz w:val="28"/>
          <w:szCs w:val="28"/>
        </w:rPr>
        <w:t xml:space="preserve"> modalidades de </w:t>
      </w:r>
      <w:r w:rsidRPr="00A95586">
        <w:rPr>
          <w:rFonts w:ascii="Cambria" w:hAnsi="Cambria"/>
          <w:sz w:val="28"/>
          <w:szCs w:val="28"/>
        </w:rPr>
        <w:t>atribuição de apoios</w:t>
      </w:r>
      <w:r w:rsidR="004E68A8">
        <w:rPr>
          <w:rFonts w:ascii="Cambria" w:hAnsi="Cambria"/>
          <w:sz w:val="28"/>
          <w:szCs w:val="28"/>
        </w:rPr>
        <w:t xml:space="preserve">, o que explica </w:t>
      </w:r>
      <w:r w:rsidR="00A54D2D">
        <w:rPr>
          <w:rFonts w:ascii="Cambria" w:hAnsi="Cambria"/>
          <w:sz w:val="28"/>
          <w:szCs w:val="28"/>
        </w:rPr>
        <w:t>a acentuada subida das queixas enquadradas em Assuntos Económicos e Financeiros.</w:t>
      </w:r>
    </w:p>
    <w:bookmarkEnd w:id="1"/>
    <w:p w14:paraId="520E596D" w14:textId="548A0106" w:rsidR="0078511B" w:rsidRDefault="00E24D6E" w:rsidP="00514C1B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>Manteve-se ainda a tendência de forte crescimento de queixas em matéria de saúde (mais 3</w:t>
      </w:r>
      <w:r w:rsidR="00452906">
        <w:rPr>
          <w:rFonts w:ascii="Cambria" w:hAnsi="Cambria"/>
          <w:sz w:val="28"/>
          <w:szCs w:val="28"/>
        </w:rPr>
        <w:t>2</w:t>
      </w:r>
      <w:r w:rsidRPr="00A95586">
        <w:rPr>
          <w:rFonts w:ascii="Cambria" w:hAnsi="Cambria"/>
          <w:sz w:val="28"/>
          <w:szCs w:val="28"/>
        </w:rPr>
        <w:t xml:space="preserve">% para um total </w:t>
      </w:r>
      <w:r w:rsidR="00854991">
        <w:rPr>
          <w:rFonts w:ascii="Cambria" w:hAnsi="Cambria"/>
          <w:sz w:val="28"/>
          <w:szCs w:val="28"/>
        </w:rPr>
        <w:t>de</w:t>
      </w:r>
      <w:r w:rsidRPr="00A95586">
        <w:rPr>
          <w:rFonts w:ascii="Cambria" w:hAnsi="Cambria"/>
          <w:sz w:val="28"/>
          <w:szCs w:val="28"/>
        </w:rPr>
        <w:t xml:space="preserve"> 727), em boa medida devido a dificuldades nos procedimentos de emissão de atestado médico de incapacidade multiuso, situação que </w:t>
      </w:r>
      <w:r w:rsidR="009878E4">
        <w:rPr>
          <w:rFonts w:ascii="Cambria" w:hAnsi="Cambria"/>
          <w:sz w:val="28"/>
          <w:szCs w:val="28"/>
        </w:rPr>
        <w:t xml:space="preserve">já </w:t>
      </w:r>
      <w:r w:rsidRPr="00A95586">
        <w:rPr>
          <w:rFonts w:ascii="Cambria" w:hAnsi="Cambria"/>
          <w:sz w:val="28"/>
          <w:szCs w:val="28"/>
        </w:rPr>
        <w:t>no ano anterior determinar</w:t>
      </w:r>
      <w:r w:rsidR="009878E4">
        <w:rPr>
          <w:rFonts w:ascii="Cambria" w:hAnsi="Cambria"/>
          <w:sz w:val="28"/>
          <w:szCs w:val="28"/>
        </w:rPr>
        <w:t>a</w:t>
      </w:r>
      <w:r w:rsidRPr="00A95586">
        <w:rPr>
          <w:rFonts w:ascii="Cambria" w:hAnsi="Cambria"/>
          <w:sz w:val="28"/>
          <w:szCs w:val="28"/>
        </w:rPr>
        <w:t xml:space="preserve"> </w:t>
      </w:r>
      <w:hyperlink r:id="rId10" w:history="1">
        <w:r w:rsidRPr="00A95586">
          <w:rPr>
            <w:rStyle w:val="Hiperligao"/>
            <w:rFonts w:ascii="Cambria" w:hAnsi="Cambria"/>
            <w:sz w:val="28"/>
            <w:szCs w:val="28"/>
          </w:rPr>
          <w:t>Recomendaç</w:t>
        </w:r>
        <w:r w:rsidR="009878E4">
          <w:rPr>
            <w:rStyle w:val="Hiperligao"/>
            <w:rFonts w:ascii="Cambria" w:hAnsi="Cambria"/>
            <w:sz w:val="28"/>
            <w:szCs w:val="28"/>
          </w:rPr>
          <w:t>ões</w:t>
        </w:r>
      </w:hyperlink>
      <w:r w:rsidRPr="00A95586">
        <w:rPr>
          <w:rFonts w:ascii="Cambria" w:hAnsi="Cambria"/>
          <w:sz w:val="28"/>
          <w:szCs w:val="28"/>
        </w:rPr>
        <w:t xml:space="preserve"> da Provedora de Justiça ao Governo. De salientar que </w:t>
      </w:r>
      <w:r w:rsidR="009248E0" w:rsidRPr="00A95586">
        <w:rPr>
          <w:rFonts w:ascii="Cambria" w:hAnsi="Cambria"/>
          <w:sz w:val="28"/>
          <w:szCs w:val="28"/>
        </w:rPr>
        <w:t xml:space="preserve">foram questões relacionadas com a saúde </w:t>
      </w:r>
      <w:r w:rsidR="009248E0">
        <w:rPr>
          <w:rFonts w:ascii="Cambria" w:hAnsi="Cambria"/>
          <w:sz w:val="28"/>
          <w:szCs w:val="28"/>
        </w:rPr>
        <w:t xml:space="preserve">as </w:t>
      </w:r>
      <w:r w:rsidRPr="00A95586">
        <w:rPr>
          <w:rFonts w:ascii="Cambria" w:hAnsi="Cambria"/>
          <w:sz w:val="28"/>
          <w:szCs w:val="28"/>
        </w:rPr>
        <w:t>que</w:t>
      </w:r>
      <w:r w:rsidR="009248E0">
        <w:rPr>
          <w:rFonts w:ascii="Cambria" w:hAnsi="Cambria"/>
          <w:sz w:val="28"/>
          <w:szCs w:val="28"/>
        </w:rPr>
        <w:t xml:space="preserve"> </w:t>
      </w:r>
      <w:r w:rsidRPr="00A95586">
        <w:rPr>
          <w:rFonts w:ascii="Cambria" w:hAnsi="Cambria"/>
          <w:sz w:val="28"/>
          <w:szCs w:val="28"/>
        </w:rPr>
        <w:t>determin</w:t>
      </w:r>
      <w:r w:rsidR="009248E0">
        <w:rPr>
          <w:rFonts w:ascii="Cambria" w:hAnsi="Cambria"/>
          <w:sz w:val="28"/>
          <w:szCs w:val="28"/>
        </w:rPr>
        <w:t>aram</w:t>
      </w:r>
      <w:r w:rsidRPr="00A95586">
        <w:rPr>
          <w:rFonts w:ascii="Cambria" w:hAnsi="Cambria"/>
          <w:sz w:val="28"/>
          <w:szCs w:val="28"/>
        </w:rPr>
        <w:t xml:space="preserve"> </w:t>
      </w:r>
      <w:r w:rsidR="009248E0">
        <w:rPr>
          <w:rFonts w:ascii="Cambria" w:hAnsi="Cambria"/>
          <w:sz w:val="28"/>
          <w:szCs w:val="28"/>
        </w:rPr>
        <w:t>maior número de</w:t>
      </w:r>
      <w:r w:rsidRPr="00A95586">
        <w:rPr>
          <w:rFonts w:ascii="Cambria" w:hAnsi="Cambria"/>
          <w:sz w:val="28"/>
          <w:szCs w:val="28"/>
        </w:rPr>
        <w:t xml:space="preserve"> contacto</w:t>
      </w:r>
      <w:r w:rsidR="009248E0">
        <w:rPr>
          <w:rFonts w:ascii="Cambria" w:hAnsi="Cambria"/>
          <w:sz w:val="28"/>
          <w:szCs w:val="28"/>
        </w:rPr>
        <w:t>s</w:t>
      </w:r>
      <w:r w:rsidRPr="00A95586">
        <w:rPr>
          <w:rFonts w:ascii="Cambria" w:hAnsi="Cambria"/>
          <w:sz w:val="28"/>
          <w:szCs w:val="28"/>
        </w:rPr>
        <w:t xml:space="preserve"> com a Linha do Idoso</w:t>
      </w:r>
      <w:r w:rsidR="009248E0">
        <w:rPr>
          <w:rFonts w:ascii="Cambria" w:hAnsi="Cambria"/>
          <w:sz w:val="28"/>
          <w:szCs w:val="28"/>
        </w:rPr>
        <w:t xml:space="preserve"> superando, pela</w:t>
      </w:r>
      <w:r w:rsidRPr="00A95586">
        <w:rPr>
          <w:rFonts w:ascii="Cambria" w:hAnsi="Cambria"/>
          <w:sz w:val="28"/>
          <w:szCs w:val="28"/>
        </w:rPr>
        <w:t xml:space="preserve"> primeira vez, as relativas às respostas sociais. </w:t>
      </w:r>
    </w:p>
    <w:p w14:paraId="4C74BC65" w14:textId="089187AB" w:rsidR="00514C1B" w:rsidRDefault="00514C1B" w:rsidP="00514C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Destaque</w:t>
      </w:r>
      <w:r w:rsidR="004E68A8">
        <w:rPr>
          <w:rFonts w:ascii="Cambria" w:hAnsi="Cambria"/>
          <w:sz w:val="28"/>
          <w:szCs w:val="28"/>
        </w:rPr>
        <w:t xml:space="preserve"> ainda</w:t>
      </w:r>
      <w:r>
        <w:rPr>
          <w:rFonts w:ascii="Cambria" w:hAnsi="Cambria"/>
          <w:sz w:val="28"/>
          <w:szCs w:val="28"/>
        </w:rPr>
        <w:t xml:space="preserve"> para a</w:t>
      </w:r>
      <w:r w:rsidR="00E24D6E" w:rsidRPr="00A95586">
        <w:rPr>
          <w:rFonts w:ascii="Cambria" w:hAnsi="Cambria"/>
          <w:sz w:val="28"/>
          <w:szCs w:val="28"/>
        </w:rPr>
        <w:t xml:space="preserve"> evolução das queixas sobre proteção na parentalidade e prestações familiares, que geraram a abertura</w:t>
      </w:r>
      <w:r w:rsidR="004E68A8">
        <w:rPr>
          <w:rFonts w:ascii="Cambria" w:hAnsi="Cambria"/>
          <w:sz w:val="28"/>
          <w:szCs w:val="28"/>
        </w:rPr>
        <w:t xml:space="preserve"> de mais do dobro dos processos face a 2020 (</w:t>
      </w:r>
      <w:r w:rsidR="00E24D6E" w:rsidRPr="00A95586">
        <w:rPr>
          <w:rFonts w:ascii="Cambria" w:hAnsi="Cambria"/>
          <w:sz w:val="28"/>
          <w:szCs w:val="28"/>
        </w:rPr>
        <w:t>426 contra 183</w:t>
      </w:r>
      <w:r w:rsidR="004E68A8">
        <w:rPr>
          <w:rFonts w:ascii="Cambria" w:hAnsi="Cambria"/>
          <w:sz w:val="28"/>
          <w:szCs w:val="28"/>
        </w:rPr>
        <w:t>).</w:t>
      </w:r>
      <w:r w:rsidR="00E24D6E" w:rsidRPr="00A95586">
        <w:rPr>
          <w:rFonts w:ascii="Cambria" w:hAnsi="Cambria"/>
          <w:sz w:val="28"/>
          <w:szCs w:val="28"/>
        </w:rPr>
        <w:t xml:space="preserve"> A causa deste aumento </w:t>
      </w:r>
      <w:r>
        <w:rPr>
          <w:rFonts w:ascii="Cambria" w:hAnsi="Cambria"/>
          <w:sz w:val="28"/>
          <w:szCs w:val="28"/>
        </w:rPr>
        <w:t>expressivo</w:t>
      </w:r>
      <w:r w:rsidR="00E24D6E" w:rsidRPr="00A95586">
        <w:rPr>
          <w:rFonts w:ascii="Cambria" w:hAnsi="Cambria"/>
          <w:sz w:val="28"/>
          <w:szCs w:val="28"/>
        </w:rPr>
        <w:t xml:space="preserve"> prende</w:t>
      </w:r>
      <w:r>
        <w:rPr>
          <w:rFonts w:ascii="Cambria" w:hAnsi="Cambria"/>
          <w:sz w:val="28"/>
          <w:szCs w:val="28"/>
        </w:rPr>
        <w:t>u</w:t>
      </w:r>
      <w:r w:rsidR="00E24D6E" w:rsidRPr="00A95586">
        <w:rPr>
          <w:rFonts w:ascii="Cambria" w:hAnsi="Cambria"/>
          <w:sz w:val="28"/>
          <w:szCs w:val="28"/>
        </w:rPr>
        <w:t xml:space="preserve">-se, por um lado, com a alteração do escalão de rendimentos do abono de família e, por outro, com o atraso verificado na atribuição do abono de família pré-natal e do abono de família a crianças e jovens, o que </w:t>
      </w:r>
      <w:r>
        <w:rPr>
          <w:rFonts w:ascii="Cambria" w:hAnsi="Cambria"/>
          <w:sz w:val="28"/>
          <w:szCs w:val="28"/>
        </w:rPr>
        <w:t>levou a</w:t>
      </w:r>
      <w:r w:rsidR="00E24D6E" w:rsidRPr="00A95586">
        <w:rPr>
          <w:rFonts w:ascii="Cambria" w:hAnsi="Cambria"/>
          <w:sz w:val="28"/>
          <w:szCs w:val="28"/>
        </w:rPr>
        <w:t xml:space="preserve"> uma </w:t>
      </w:r>
      <w:hyperlink r:id="rId11" w:history="1">
        <w:r w:rsidR="00E24D6E" w:rsidRPr="00A95586">
          <w:rPr>
            <w:rStyle w:val="Hiperligao"/>
            <w:rFonts w:ascii="Cambria" w:hAnsi="Cambria"/>
            <w:sz w:val="28"/>
            <w:szCs w:val="28"/>
          </w:rPr>
          <w:t>intervenção</w:t>
        </w:r>
      </w:hyperlink>
      <w:r w:rsidR="00E24D6E" w:rsidRPr="00A95586">
        <w:rPr>
          <w:rFonts w:ascii="Cambria" w:hAnsi="Cambria"/>
          <w:sz w:val="28"/>
          <w:szCs w:val="28"/>
        </w:rPr>
        <w:t xml:space="preserve"> da Provedora de Justiça. </w:t>
      </w:r>
    </w:p>
    <w:p w14:paraId="5A34A138" w14:textId="103747AB" w:rsidR="00A33601" w:rsidRPr="00A95586" w:rsidRDefault="00A33601" w:rsidP="00A33601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>Ao longo de 202</w:t>
      </w:r>
      <w:r>
        <w:rPr>
          <w:rFonts w:ascii="Cambria" w:hAnsi="Cambria"/>
          <w:sz w:val="28"/>
          <w:szCs w:val="28"/>
        </w:rPr>
        <w:t>1</w:t>
      </w:r>
      <w:r w:rsidRPr="00A95586">
        <w:rPr>
          <w:rFonts w:ascii="Cambria" w:hAnsi="Cambria"/>
          <w:sz w:val="28"/>
          <w:szCs w:val="28"/>
        </w:rPr>
        <w:t>, a Provedora de Justiça dirigiu </w:t>
      </w:r>
      <w:hyperlink r:id="rId12" w:history="1">
        <w:r w:rsidR="00854991">
          <w:rPr>
            <w:rStyle w:val="Hiperligao"/>
            <w:rFonts w:ascii="Cambria" w:hAnsi="Cambria"/>
            <w:sz w:val="28"/>
            <w:szCs w:val="28"/>
          </w:rPr>
          <w:t>ca</w:t>
        </w:r>
        <w:r w:rsidRPr="00C533BB">
          <w:rPr>
            <w:rStyle w:val="Hiperligao"/>
            <w:rFonts w:ascii="Cambria" w:hAnsi="Cambria"/>
            <w:sz w:val="28"/>
            <w:szCs w:val="28"/>
          </w:rPr>
          <w:t xml:space="preserve">torze </w:t>
        </w:r>
        <w:r>
          <w:rPr>
            <w:rStyle w:val="Hiperligao"/>
            <w:rFonts w:ascii="Cambria" w:hAnsi="Cambria"/>
            <w:sz w:val="28"/>
            <w:szCs w:val="28"/>
          </w:rPr>
          <w:t>R</w:t>
        </w:r>
        <w:r w:rsidRPr="00C533BB">
          <w:rPr>
            <w:rStyle w:val="Hiperligao"/>
            <w:rFonts w:ascii="Cambria" w:hAnsi="Cambria"/>
            <w:sz w:val="28"/>
            <w:szCs w:val="28"/>
          </w:rPr>
          <w:t>ecomendações</w:t>
        </w:r>
      </w:hyperlink>
      <w:r w:rsidRPr="00A95586">
        <w:rPr>
          <w:rFonts w:ascii="Cambria" w:hAnsi="Cambria"/>
          <w:sz w:val="28"/>
          <w:szCs w:val="28"/>
        </w:rPr>
        <w:t xml:space="preserve"> e </w:t>
      </w:r>
      <w:r>
        <w:rPr>
          <w:rFonts w:ascii="Cambria" w:hAnsi="Cambria"/>
          <w:sz w:val="28"/>
          <w:szCs w:val="28"/>
        </w:rPr>
        <w:t xml:space="preserve">submeteu dois pedidos de fiscalização abstrata da constitucionalidade ao Tribunal Constitucional (ver </w:t>
      </w:r>
      <w:hyperlink r:id="rId13" w:history="1">
        <w:r w:rsidRPr="00A5692D">
          <w:rPr>
            <w:rStyle w:val="Hiperligao"/>
            <w:rFonts w:ascii="Cambria" w:hAnsi="Cambria"/>
            <w:sz w:val="28"/>
            <w:szCs w:val="28"/>
          </w:rPr>
          <w:t>aqui</w:t>
        </w:r>
      </w:hyperlink>
      <w:r w:rsidRPr="006A722C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 xml:space="preserve">e </w:t>
      </w:r>
      <w:hyperlink r:id="rId14" w:history="1">
        <w:r w:rsidRPr="00C533BB">
          <w:rPr>
            <w:rStyle w:val="Hiperligao"/>
            <w:rFonts w:ascii="Cambria" w:hAnsi="Cambria"/>
            <w:sz w:val="28"/>
            <w:szCs w:val="28"/>
          </w:rPr>
          <w:t>aqui</w:t>
        </w:r>
      </w:hyperlink>
      <w:r>
        <w:rPr>
          <w:rFonts w:ascii="Cambria" w:hAnsi="Cambria"/>
          <w:sz w:val="28"/>
          <w:szCs w:val="28"/>
        </w:rPr>
        <w:t>).</w:t>
      </w:r>
    </w:p>
    <w:p w14:paraId="45DD12C5" w14:textId="59C6BCDF" w:rsidR="00514C1B" w:rsidRDefault="00E24D6E" w:rsidP="00A33601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>No ano que se relata, importa a</w:t>
      </w:r>
      <w:r w:rsidR="00A95586">
        <w:rPr>
          <w:rFonts w:ascii="Cambria" w:hAnsi="Cambria"/>
          <w:sz w:val="28"/>
          <w:szCs w:val="28"/>
        </w:rPr>
        <w:t xml:space="preserve">inda </w:t>
      </w:r>
      <w:r w:rsidR="00514C1B">
        <w:rPr>
          <w:rFonts w:ascii="Cambria" w:hAnsi="Cambria"/>
          <w:sz w:val="28"/>
          <w:szCs w:val="28"/>
        </w:rPr>
        <w:t>chamar a atenção para</w:t>
      </w:r>
      <w:r w:rsidR="00A95586">
        <w:rPr>
          <w:rFonts w:ascii="Cambria" w:hAnsi="Cambria"/>
          <w:sz w:val="28"/>
          <w:szCs w:val="28"/>
        </w:rPr>
        <w:t xml:space="preserve"> </w:t>
      </w:r>
      <w:r w:rsidRPr="00A95586">
        <w:rPr>
          <w:rFonts w:ascii="Cambria" w:hAnsi="Cambria"/>
          <w:sz w:val="28"/>
          <w:szCs w:val="28"/>
        </w:rPr>
        <w:t xml:space="preserve">a publicação de um conjunto de três estudos, designados </w:t>
      </w:r>
      <w:hyperlink r:id="rId15" w:history="1">
        <w:r w:rsidRPr="00A95586">
          <w:rPr>
            <w:rStyle w:val="Hiperligao"/>
            <w:rFonts w:ascii="Cambria" w:hAnsi="Cambria"/>
            <w:sz w:val="28"/>
            <w:szCs w:val="28"/>
          </w:rPr>
          <w:t>“</w:t>
        </w:r>
        <w:r w:rsidR="00A95586">
          <w:rPr>
            <w:rStyle w:val="Hiperligao"/>
            <w:rFonts w:ascii="Cambria" w:hAnsi="Cambria"/>
            <w:sz w:val="28"/>
            <w:szCs w:val="28"/>
          </w:rPr>
          <w:t>C</w:t>
        </w:r>
        <w:r w:rsidRPr="00A95586">
          <w:rPr>
            <w:rStyle w:val="Hiperligao"/>
            <w:rFonts w:ascii="Cambria" w:hAnsi="Cambria"/>
            <w:sz w:val="28"/>
            <w:szCs w:val="28"/>
          </w:rPr>
          <w:t xml:space="preserve">adernos da </w:t>
        </w:r>
        <w:r w:rsidR="00A95586">
          <w:rPr>
            <w:rStyle w:val="Hiperligao"/>
            <w:rFonts w:ascii="Cambria" w:hAnsi="Cambria"/>
            <w:sz w:val="28"/>
            <w:szCs w:val="28"/>
          </w:rPr>
          <w:t>P</w:t>
        </w:r>
        <w:r w:rsidRPr="00A95586">
          <w:rPr>
            <w:rStyle w:val="Hiperligao"/>
            <w:rFonts w:ascii="Cambria" w:hAnsi="Cambria"/>
            <w:sz w:val="28"/>
            <w:szCs w:val="28"/>
          </w:rPr>
          <w:t>andemia</w:t>
        </w:r>
        <w:r w:rsidR="0078511B">
          <w:rPr>
            <w:rStyle w:val="Hiperligao"/>
            <w:rFonts w:ascii="Cambria" w:hAnsi="Cambria"/>
            <w:sz w:val="28"/>
            <w:szCs w:val="28"/>
          </w:rPr>
          <w:t>”</w:t>
        </w:r>
      </w:hyperlink>
      <w:r w:rsidRPr="00A95586">
        <w:rPr>
          <w:rFonts w:ascii="Cambria" w:hAnsi="Cambria"/>
          <w:sz w:val="28"/>
          <w:szCs w:val="28"/>
        </w:rPr>
        <w:t>, onde se procurou perceber o impacto da pandemia em três dimensões fundamentais da vida coletiva. O primeiro estudo incide sobre o tema geral da educação e tem por base informações obtidas durante a primeira fase de suspensão das aulas presenciais, vivida em 2020. O segundo incide sobre as pessoas em situação de sem-abrigo e o terceiro reflete sobre os problemas do Estado de direito no período entre março de 2020 e abril de 2021.</w:t>
      </w:r>
    </w:p>
    <w:p w14:paraId="6AFDAF55" w14:textId="77777777" w:rsidR="00A33601" w:rsidRDefault="00A33601" w:rsidP="00A77778">
      <w:pPr>
        <w:shd w:val="clear" w:color="auto" w:fill="FFFFFF"/>
        <w:spacing w:after="384" w:line="240" w:lineRule="auto"/>
        <w:rPr>
          <w:rFonts w:ascii="Cambria" w:hAnsi="Cambria"/>
          <w:sz w:val="28"/>
          <w:szCs w:val="28"/>
        </w:rPr>
      </w:pPr>
    </w:p>
    <w:p w14:paraId="1719C2E0" w14:textId="4104AA15" w:rsidR="00A77778" w:rsidRPr="00A77778" w:rsidRDefault="00A77778" w:rsidP="00A77778">
      <w:pPr>
        <w:shd w:val="clear" w:color="auto" w:fill="FFFFFF"/>
        <w:spacing w:after="384" w:line="240" w:lineRule="auto"/>
        <w:rPr>
          <w:rFonts w:ascii="PT Serif" w:eastAsia="Times New Roman" w:hAnsi="PT Serif" w:cs="Times New Roman"/>
          <w:color w:val="808080"/>
          <w:sz w:val="27"/>
          <w:szCs w:val="27"/>
          <w:lang w:eastAsia="pt-PT"/>
        </w:rPr>
      </w:pPr>
      <w:r w:rsidRPr="00A77778">
        <w:rPr>
          <w:rFonts w:ascii="inherit" w:eastAsia="Times New Roman" w:hAnsi="inherit" w:cs="Times New Roman"/>
          <w:b/>
          <w:bCs/>
          <w:color w:val="313335"/>
          <w:sz w:val="27"/>
          <w:szCs w:val="27"/>
          <w:bdr w:val="none" w:sz="0" w:space="0" w:color="auto" w:frame="1"/>
          <w:lang w:eastAsia="pt-PT"/>
        </w:rPr>
        <w:t>Mecanismo Nacional de Prevenção</w:t>
      </w:r>
    </w:p>
    <w:p w14:paraId="794AF25E" w14:textId="6851B9DA" w:rsidR="00A33601" w:rsidRDefault="00A77778" w:rsidP="00A95586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 xml:space="preserve">Em Portugal, o Provedor de Justiça </w:t>
      </w:r>
      <w:r w:rsidR="00EE5F9C" w:rsidRPr="00A95586">
        <w:rPr>
          <w:rFonts w:ascii="Cambria" w:hAnsi="Cambria"/>
          <w:sz w:val="28"/>
          <w:szCs w:val="28"/>
        </w:rPr>
        <w:t>funciona</w:t>
      </w:r>
      <w:r w:rsidR="00EF0EB0" w:rsidRPr="00A95586">
        <w:rPr>
          <w:rFonts w:ascii="Cambria" w:hAnsi="Cambria"/>
          <w:sz w:val="28"/>
          <w:szCs w:val="28"/>
        </w:rPr>
        <w:t>, desde 2013,</w:t>
      </w:r>
      <w:r w:rsidR="00EE5F9C" w:rsidRPr="00A95586">
        <w:rPr>
          <w:rFonts w:ascii="Cambria" w:hAnsi="Cambria"/>
          <w:sz w:val="28"/>
          <w:szCs w:val="28"/>
        </w:rPr>
        <w:t xml:space="preserve"> como </w:t>
      </w:r>
      <w:hyperlink r:id="rId16" w:history="1">
        <w:r w:rsidRPr="00A95586">
          <w:rPr>
            <w:rStyle w:val="Hiperligao"/>
            <w:rFonts w:ascii="Cambria" w:hAnsi="Cambria"/>
            <w:sz w:val="28"/>
            <w:szCs w:val="28"/>
          </w:rPr>
          <w:t>MNP- Mecanismo Nacional de Prevenção</w:t>
        </w:r>
      </w:hyperlink>
      <w:r w:rsidRPr="00A95586">
        <w:rPr>
          <w:rFonts w:ascii="Cambria" w:hAnsi="Cambria"/>
          <w:sz w:val="28"/>
          <w:szCs w:val="28"/>
        </w:rPr>
        <w:t> da tortura e tratamentos degradantes, cuja atividade é relatada num Relatório autónomo.</w:t>
      </w:r>
      <w:r w:rsidR="00E24D6E" w:rsidRPr="00A95586">
        <w:rPr>
          <w:rFonts w:ascii="Cambria" w:hAnsi="Cambria"/>
          <w:sz w:val="28"/>
          <w:szCs w:val="28"/>
        </w:rPr>
        <w:t xml:space="preserve"> Em 2021, </w:t>
      </w:r>
      <w:r w:rsidR="00371423" w:rsidRPr="00A95586">
        <w:rPr>
          <w:rFonts w:ascii="Cambria" w:hAnsi="Cambria"/>
          <w:sz w:val="28"/>
          <w:szCs w:val="28"/>
        </w:rPr>
        <w:t>o MNP</w:t>
      </w:r>
      <w:r w:rsidR="00E24D6E" w:rsidRPr="00A95586">
        <w:rPr>
          <w:rFonts w:ascii="Cambria" w:hAnsi="Cambria"/>
          <w:sz w:val="28"/>
          <w:szCs w:val="28"/>
        </w:rPr>
        <w:t xml:space="preserve"> manteve a prioridade na realização de visitas a estabelecimentos prisionais</w:t>
      </w:r>
      <w:r w:rsidR="009B11CF">
        <w:rPr>
          <w:rFonts w:ascii="Cambria" w:hAnsi="Cambria"/>
          <w:sz w:val="28"/>
          <w:szCs w:val="28"/>
        </w:rPr>
        <w:t>,</w:t>
      </w:r>
      <w:r w:rsidR="00E24D6E" w:rsidRPr="00A95586">
        <w:rPr>
          <w:rFonts w:ascii="Cambria" w:hAnsi="Cambria"/>
          <w:sz w:val="28"/>
          <w:szCs w:val="28"/>
        </w:rPr>
        <w:t xml:space="preserve"> a centros educativo</w:t>
      </w:r>
      <w:r w:rsidR="009B11CF">
        <w:rPr>
          <w:rFonts w:ascii="Cambria" w:hAnsi="Cambria"/>
          <w:sz w:val="28"/>
          <w:szCs w:val="28"/>
        </w:rPr>
        <w:t>s (CE)</w:t>
      </w:r>
      <w:r w:rsidR="00E24D6E" w:rsidRPr="00A95586">
        <w:rPr>
          <w:rFonts w:ascii="Cambria" w:hAnsi="Cambria"/>
          <w:sz w:val="28"/>
          <w:szCs w:val="28"/>
        </w:rPr>
        <w:t xml:space="preserve"> e a </w:t>
      </w:r>
      <w:bookmarkStart w:id="2" w:name="_Hlk95137627"/>
      <w:r w:rsidR="00E24D6E" w:rsidRPr="00A95586">
        <w:rPr>
          <w:rFonts w:ascii="Cambria" w:hAnsi="Cambria"/>
          <w:sz w:val="28"/>
          <w:szCs w:val="28"/>
        </w:rPr>
        <w:t xml:space="preserve">centros de instalação temporária e espaços equiparados </w:t>
      </w:r>
      <w:bookmarkEnd w:id="2"/>
      <w:r w:rsidR="00E24D6E" w:rsidRPr="00A95586">
        <w:rPr>
          <w:rFonts w:ascii="Cambria" w:hAnsi="Cambria"/>
          <w:sz w:val="28"/>
          <w:szCs w:val="28"/>
        </w:rPr>
        <w:t>(CIT/EECIT)</w:t>
      </w:r>
      <w:r w:rsidR="00EF0EB0" w:rsidRPr="00A95586">
        <w:rPr>
          <w:rFonts w:ascii="Cambria" w:hAnsi="Cambria"/>
          <w:sz w:val="28"/>
          <w:szCs w:val="28"/>
        </w:rPr>
        <w:t>. T</w:t>
      </w:r>
      <w:r w:rsidR="00E24D6E" w:rsidRPr="00A95586">
        <w:rPr>
          <w:rFonts w:ascii="Cambria" w:hAnsi="Cambria"/>
          <w:sz w:val="28"/>
          <w:szCs w:val="28"/>
        </w:rPr>
        <w:t xml:space="preserve">endo podido retomar a sua atividade presencial, </w:t>
      </w:r>
      <w:r w:rsidR="00A33601">
        <w:rPr>
          <w:rFonts w:ascii="Cambria" w:hAnsi="Cambria"/>
          <w:sz w:val="28"/>
          <w:szCs w:val="28"/>
        </w:rPr>
        <w:t>realizou 5</w:t>
      </w:r>
      <w:r w:rsidR="00371423" w:rsidRPr="00A95586">
        <w:rPr>
          <w:rFonts w:ascii="Cambria" w:hAnsi="Cambria"/>
          <w:sz w:val="28"/>
          <w:szCs w:val="28"/>
        </w:rPr>
        <w:t>0 visitas de monitorização</w:t>
      </w:r>
      <w:r w:rsidR="00E24D6E" w:rsidRPr="00A95586">
        <w:rPr>
          <w:rFonts w:ascii="Cambria" w:hAnsi="Cambria"/>
          <w:sz w:val="28"/>
          <w:szCs w:val="28"/>
        </w:rPr>
        <w:t xml:space="preserve">. </w:t>
      </w:r>
      <w:r w:rsidR="000C348D" w:rsidRPr="00A95586">
        <w:rPr>
          <w:rFonts w:ascii="Cambria" w:hAnsi="Cambria"/>
          <w:sz w:val="28"/>
          <w:szCs w:val="28"/>
        </w:rPr>
        <w:t>No final do ano, todos os estabelecimentos prisionais do país tinham sido visitados pelo menos uma vez nos 24 meses antecedentes</w:t>
      </w:r>
      <w:r w:rsidR="00E24D6E" w:rsidRPr="00A95586">
        <w:rPr>
          <w:rFonts w:ascii="Cambria" w:hAnsi="Cambria"/>
          <w:sz w:val="28"/>
          <w:szCs w:val="28"/>
        </w:rPr>
        <w:t>, e to</w:t>
      </w:r>
      <w:r w:rsidR="00EC76FB" w:rsidRPr="00A95586">
        <w:rPr>
          <w:rFonts w:ascii="Cambria" w:hAnsi="Cambria"/>
          <w:sz w:val="28"/>
          <w:szCs w:val="28"/>
        </w:rPr>
        <w:t xml:space="preserve">dos os CE </w:t>
      </w:r>
      <w:r w:rsidR="009B11CF">
        <w:rPr>
          <w:rFonts w:ascii="Cambria" w:hAnsi="Cambria"/>
          <w:sz w:val="28"/>
          <w:szCs w:val="28"/>
        </w:rPr>
        <w:t>haviam sido</w:t>
      </w:r>
      <w:r w:rsidR="00EC76FB" w:rsidRPr="00A95586">
        <w:rPr>
          <w:rFonts w:ascii="Cambria" w:hAnsi="Cambria"/>
          <w:sz w:val="28"/>
          <w:szCs w:val="28"/>
        </w:rPr>
        <w:t xml:space="preserve"> visitados entre os meses de abril e novembro de 2021</w:t>
      </w:r>
      <w:r w:rsidR="00E24D6E" w:rsidRPr="00A95586">
        <w:rPr>
          <w:rFonts w:ascii="Cambria" w:hAnsi="Cambria"/>
          <w:sz w:val="28"/>
          <w:szCs w:val="28"/>
        </w:rPr>
        <w:t>.</w:t>
      </w:r>
      <w:r w:rsidR="00EF0EB0" w:rsidRPr="00A95586">
        <w:rPr>
          <w:rFonts w:ascii="Cambria" w:hAnsi="Cambria"/>
          <w:sz w:val="28"/>
          <w:szCs w:val="28"/>
        </w:rPr>
        <w:t xml:space="preserve"> </w:t>
      </w:r>
    </w:p>
    <w:p w14:paraId="3A6393D2" w14:textId="76192CC0" w:rsidR="00EB28D0" w:rsidRPr="00A95586" w:rsidRDefault="00EF0EB0" w:rsidP="00A95586">
      <w:pPr>
        <w:rPr>
          <w:rFonts w:ascii="Cambria" w:hAnsi="Cambria"/>
          <w:sz w:val="28"/>
          <w:szCs w:val="28"/>
        </w:rPr>
      </w:pPr>
      <w:r w:rsidRPr="00A95586">
        <w:rPr>
          <w:rFonts w:ascii="Cambria" w:hAnsi="Cambria"/>
          <w:sz w:val="28"/>
          <w:szCs w:val="28"/>
        </w:rPr>
        <w:t xml:space="preserve">À </w:t>
      </w:r>
      <w:r w:rsidR="00E24D6E" w:rsidRPr="00A95586">
        <w:rPr>
          <w:rFonts w:ascii="Cambria" w:hAnsi="Cambria"/>
          <w:sz w:val="28"/>
          <w:szCs w:val="28"/>
        </w:rPr>
        <w:t xml:space="preserve">semelhança </w:t>
      </w:r>
      <w:r w:rsidRPr="00A95586">
        <w:rPr>
          <w:rFonts w:ascii="Cambria" w:hAnsi="Cambria"/>
          <w:sz w:val="28"/>
          <w:szCs w:val="28"/>
        </w:rPr>
        <w:t xml:space="preserve">da avaliação feita em </w:t>
      </w:r>
      <w:r w:rsidR="00E24D6E" w:rsidRPr="00A95586">
        <w:rPr>
          <w:rFonts w:ascii="Cambria" w:hAnsi="Cambria"/>
          <w:sz w:val="28"/>
          <w:szCs w:val="28"/>
        </w:rPr>
        <w:t xml:space="preserve">2020, </w:t>
      </w:r>
      <w:r w:rsidRPr="00A95586">
        <w:rPr>
          <w:rFonts w:ascii="Cambria" w:hAnsi="Cambria"/>
          <w:sz w:val="28"/>
          <w:szCs w:val="28"/>
        </w:rPr>
        <w:t xml:space="preserve">o MNP </w:t>
      </w:r>
      <w:r w:rsidR="00EB28D0" w:rsidRPr="00A95586">
        <w:rPr>
          <w:rFonts w:ascii="Cambria" w:hAnsi="Cambria"/>
          <w:sz w:val="28"/>
          <w:szCs w:val="28"/>
        </w:rPr>
        <w:t xml:space="preserve">considera que </w:t>
      </w:r>
      <w:r w:rsidR="00E24D6E" w:rsidRPr="00A95586">
        <w:rPr>
          <w:rFonts w:ascii="Cambria" w:hAnsi="Cambria"/>
          <w:sz w:val="28"/>
          <w:szCs w:val="28"/>
        </w:rPr>
        <w:t>as restrições adotadas em contexto de privação de liberdade no sentido de prevenir e mitigar a pandemia se mostraram adequadas e proporcionais</w:t>
      </w:r>
      <w:r w:rsidR="00A33601">
        <w:rPr>
          <w:rFonts w:ascii="Cambria" w:hAnsi="Cambria"/>
          <w:sz w:val="28"/>
          <w:szCs w:val="28"/>
        </w:rPr>
        <w:t>, e</w:t>
      </w:r>
      <w:r w:rsidR="00E24D6E" w:rsidRPr="00A95586">
        <w:rPr>
          <w:rFonts w:ascii="Cambria" w:hAnsi="Cambria"/>
          <w:sz w:val="28"/>
          <w:szCs w:val="28"/>
        </w:rPr>
        <w:t xml:space="preserve"> </w:t>
      </w:r>
      <w:r w:rsidR="00AC1A75">
        <w:rPr>
          <w:rFonts w:ascii="Cambria" w:hAnsi="Cambria"/>
          <w:sz w:val="28"/>
          <w:szCs w:val="28"/>
        </w:rPr>
        <w:t xml:space="preserve">regista </w:t>
      </w:r>
      <w:r w:rsidR="00E24D6E" w:rsidRPr="00A95586">
        <w:rPr>
          <w:rFonts w:ascii="Cambria" w:hAnsi="Cambria"/>
          <w:sz w:val="28"/>
          <w:szCs w:val="28"/>
        </w:rPr>
        <w:t>o facto de não ter ocorrido qualquer óbito relacionado com a COVID-19. Salienta</w:t>
      </w:r>
      <w:r w:rsidR="009B11CF">
        <w:rPr>
          <w:rFonts w:ascii="Cambria" w:hAnsi="Cambria"/>
          <w:sz w:val="28"/>
          <w:szCs w:val="28"/>
        </w:rPr>
        <w:t>-se</w:t>
      </w:r>
      <w:r w:rsidR="00C533BB">
        <w:rPr>
          <w:rFonts w:ascii="Cambria" w:hAnsi="Cambria"/>
          <w:sz w:val="28"/>
          <w:szCs w:val="28"/>
        </w:rPr>
        <w:t xml:space="preserve"> </w:t>
      </w:r>
      <w:r w:rsidR="00E24D6E" w:rsidRPr="00A95586">
        <w:rPr>
          <w:rFonts w:ascii="Cambria" w:hAnsi="Cambria"/>
          <w:sz w:val="28"/>
          <w:szCs w:val="28"/>
        </w:rPr>
        <w:t>ainda positivamente o modo como decorreu o processo de vacinação</w:t>
      </w:r>
      <w:r w:rsidR="00EB28D0" w:rsidRPr="00A95586">
        <w:rPr>
          <w:rFonts w:ascii="Cambria" w:hAnsi="Cambria"/>
          <w:sz w:val="28"/>
          <w:szCs w:val="28"/>
        </w:rPr>
        <w:t xml:space="preserve">, </w:t>
      </w:r>
      <w:r w:rsidR="00AC1A75">
        <w:rPr>
          <w:rFonts w:ascii="Cambria" w:hAnsi="Cambria"/>
          <w:sz w:val="28"/>
          <w:szCs w:val="28"/>
        </w:rPr>
        <w:t xml:space="preserve">bem como </w:t>
      </w:r>
      <w:r w:rsidR="00EB28D0" w:rsidRPr="00A95586">
        <w:rPr>
          <w:rFonts w:ascii="Cambria" w:hAnsi="Cambria"/>
          <w:sz w:val="28"/>
          <w:szCs w:val="28"/>
        </w:rPr>
        <w:t>o reforço do atendimento psiquiátrico e psicológico que, em regra, ocorreu no sistema prisional. É, contudo, com consternação que o MNP conclui que em 2021 não ocorreram desenvolvimentos significativos a respeito da detenção de cidadãos estrangeiros em Portugal, subsistindo as questões identificadas em 2020, designadamente a necessidade d</w:t>
      </w:r>
      <w:r w:rsidR="000D73A7">
        <w:rPr>
          <w:rFonts w:ascii="Cambria" w:hAnsi="Cambria"/>
          <w:sz w:val="28"/>
          <w:szCs w:val="28"/>
        </w:rPr>
        <w:t>e</w:t>
      </w:r>
      <w:r w:rsidR="00EB28D0" w:rsidRPr="00A95586">
        <w:rPr>
          <w:rFonts w:ascii="Cambria" w:hAnsi="Cambria"/>
          <w:sz w:val="28"/>
          <w:szCs w:val="28"/>
        </w:rPr>
        <w:t xml:space="preserve"> criação de um verdadeiro CIT na área de Lisboa</w:t>
      </w:r>
      <w:r w:rsidR="000D73A7">
        <w:rPr>
          <w:rFonts w:ascii="Cambria" w:hAnsi="Cambria"/>
          <w:sz w:val="28"/>
          <w:szCs w:val="28"/>
        </w:rPr>
        <w:t>, bem</w:t>
      </w:r>
      <w:r w:rsidR="00EB28D0" w:rsidRPr="00A95586">
        <w:rPr>
          <w:rFonts w:ascii="Cambria" w:hAnsi="Cambria"/>
          <w:sz w:val="28"/>
          <w:szCs w:val="28"/>
        </w:rPr>
        <w:t xml:space="preserve"> como da uniformização dos procedimentos seguidos nos diferentes locais de detenção de cidadãos estrangeiros</w:t>
      </w:r>
      <w:r w:rsidR="0045478F">
        <w:rPr>
          <w:rFonts w:ascii="Cambria" w:hAnsi="Cambria"/>
          <w:sz w:val="28"/>
          <w:szCs w:val="28"/>
        </w:rPr>
        <w:t>.</w:t>
      </w:r>
    </w:p>
    <w:p w14:paraId="1A37824E" w14:textId="77777777" w:rsidR="000D73A7" w:rsidRDefault="000D73A7" w:rsidP="00A95586">
      <w:pPr>
        <w:rPr>
          <w:rFonts w:ascii="Cambria" w:hAnsi="Cambria"/>
          <w:b/>
          <w:bCs/>
          <w:sz w:val="28"/>
          <w:szCs w:val="28"/>
        </w:rPr>
      </w:pPr>
    </w:p>
    <w:p w14:paraId="2F176330" w14:textId="66FED877" w:rsidR="00A95586" w:rsidRDefault="00A77778" w:rsidP="00A95586">
      <w:pPr>
        <w:rPr>
          <w:rFonts w:ascii="Cambria" w:hAnsi="Cambria"/>
          <w:sz w:val="28"/>
          <w:szCs w:val="28"/>
        </w:rPr>
      </w:pPr>
      <w:r w:rsidRPr="00514C1B">
        <w:rPr>
          <w:rFonts w:ascii="Cambria" w:hAnsi="Cambria"/>
          <w:b/>
          <w:bCs/>
          <w:sz w:val="28"/>
          <w:szCs w:val="28"/>
        </w:rPr>
        <w:t>A propósito do futuro da instituição</w:t>
      </w:r>
      <w:r w:rsidRPr="00A95586">
        <w:rPr>
          <w:rFonts w:ascii="Cambria" w:hAnsi="Cambria"/>
          <w:sz w:val="28"/>
          <w:szCs w:val="28"/>
        </w:rPr>
        <w:t xml:space="preserve">, </w:t>
      </w:r>
      <w:r w:rsidR="00B712A6" w:rsidRPr="00A95586">
        <w:rPr>
          <w:rFonts w:ascii="Cambria" w:hAnsi="Cambria"/>
          <w:sz w:val="28"/>
          <w:szCs w:val="28"/>
        </w:rPr>
        <w:t xml:space="preserve">e refletindo a reestruturação interna entretanto </w:t>
      </w:r>
      <w:r w:rsidR="00A95586">
        <w:rPr>
          <w:rFonts w:ascii="Cambria" w:hAnsi="Cambria"/>
          <w:sz w:val="28"/>
          <w:szCs w:val="28"/>
        </w:rPr>
        <w:t>encetada</w:t>
      </w:r>
      <w:r w:rsidR="000D73A7">
        <w:rPr>
          <w:rFonts w:ascii="Cambria" w:hAnsi="Cambria"/>
          <w:sz w:val="28"/>
          <w:szCs w:val="28"/>
        </w:rPr>
        <w:t xml:space="preserve"> no seio da Provedoria de Justiça</w:t>
      </w:r>
      <w:r w:rsidR="00B712A6" w:rsidRPr="00A95586">
        <w:rPr>
          <w:rFonts w:ascii="Cambria" w:hAnsi="Cambria"/>
          <w:sz w:val="28"/>
          <w:szCs w:val="28"/>
        </w:rPr>
        <w:t xml:space="preserve">, </w:t>
      </w:r>
      <w:r w:rsidRPr="00A95586">
        <w:rPr>
          <w:rFonts w:ascii="Cambria" w:hAnsi="Cambria"/>
          <w:sz w:val="28"/>
          <w:szCs w:val="28"/>
        </w:rPr>
        <w:t xml:space="preserve">Maria Lúcia Amaral </w:t>
      </w:r>
      <w:r w:rsidR="00B712A6" w:rsidRPr="00A95586">
        <w:rPr>
          <w:rFonts w:ascii="Cambria" w:hAnsi="Cambria"/>
          <w:sz w:val="28"/>
          <w:szCs w:val="28"/>
        </w:rPr>
        <w:t>afirma</w:t>
      </w:r>
      <w:r w:rsidRPr="00A95586">
        <w:rPr>
          <w:rFonts w:ascii="Cambria" w:hAnsi="Cambria"/>
          <w:sz w:val="28"/>
          <w:szCs w:val="28"/>
        </w:rPr>
        <w:t xml:space="preserve">: </w:t>
      </w:r>
    </w:p>
    <w:p w14:paraId="3C650064" w14:textId="18AFABA7" w:rsidR="00B712A6" w:rsidRPr="00A95586" w:rsidRDefault="00A77778" w:rsidP="00A95586">
      <w:pPr>
        <w:rPr>
          <w:rFonts w:ascii="Cambria" w:hAnsi="Cambria"/>
          <w:i/>
          <w:iCs/>
          <w:sz w:val="28"/>
          <w:szCs w:val="28"/>
        </w:rPr>
      </w:pPr>
      <w:r w:rsidRPr="00A95586">
        <w:rPr>
          <w:rFonts w:ascii="Cambria" w:hAnsi="Cambria"/>
          <w:i/>
          <w:iCs/>
          <w:sz w:val="28"/>
          <w:szCs w:val="28"/>
        </w:rPr>
        <w:t>“</w:t>
      </w:r>
      <w:r w:rsidR="00B712A6" w:rsidRPr="00A95586">
        <w:rPr>
          <w:rFonts w:ascii="Cambria" w:hAnsi="Cambria"/>
          <w:i/>
          <w:iCs/>
          <w:sz w:val="28"/>
          <w:szCs w:val="28"/>
        </w:rPr>
        <w:t xml:space="preserve">Um órgão de justiça informal ao qual todos podem aceder sem quaisquer custos deve ser conduzido de forma a dar preferência a quem dele efetivamente mais precise. Uma instituição à qual a Constituição confere um lugar particular no sistema de proteção dos direitos fundamentais deve ser conduzida de forma a que a sua ação se conforme com a importância que o sistema constitucional lhe confere. Uma autoridade do Estado português que foi escolhida como </w:t>
      </w:r>
      <w:r w:rsidR="005C2A40">
        <w:rPr>
          <w:rFonts w:ascii="Cambria" w:hAnsi="Cambria"/>
          <w:i/>
          <w:iCs/>
          <w:sz w:val="28"/>
          <w:szCs w:val="28"/>
        </w:rPr>
        <w:t>‘</w:t>
      </w:r>
      <w:r w:rsidR="00B712A6" w:rsidRPr="00A95586">
        <w:rPr>
          <w:rFonts w:ascii="Cambria" w:hAnsi="Cambria"/>
          <w:i/>
          <w:iCs/>
          <w:sz w:val="28"/>
          <w:szCs w:val="28"/>
        </w:rPr>
        <w:t>entidade parceira</w:t>
      </w:r>
      <w:r w:rsidR="005C2A40">
        <w:rPr>
          <w:rFonts w:ascii="Cambria" w:hAnsi="Cambria"/>
          <w:i/>
          <w:iCs/>
          <w:sz w:val="28"/>
          <w:szCs w:val="28"/>
        </w:rPr>
        <w:t>’</w:t>
      </w:r>
      <w:r w:rsidR="00B712A6" w:rsidRPr="00A95586">
        <w:rPr>
          <w:rFonts w:ascii="Cambria" w:hAnsi="Cambria"/>
          <w:i/>
          <w:iCs/>
          <w:sz w:val="28"/>
          <w:szCs w:val="28"/>
        </w:rPr>
        <w:t xml:space="preserve"> pelos atores relevantes do sistema internacional de direitos humanos deve ser conduzida de forma a que a dimensão da sua ação </w:t>
      </w:r>
      <w:r w:rsidR="00FB7143">
        <w:rPr>
          <w:rFonts w:ascii="Cambria" w:hAnsi="Cambria"/>
          <w:i/>
          <w:iCs/>
          <w:sz w:val="28"/>
          <w:szCs w:val="28"/>
        </w:rPr>
        <w:t>‘</w:t>
      </w:r>
      <w:r w:rsidR="00B712A6" w:rsidRPr="00A95586">
        <w:rPr>
          <w:rFonts w:ascii="Cambria" w:hAnsi="Cambria"/>
          <w:i/>
          <w:iCs/>
          <w:sz w:val="28"/>
          <w:szCs w:val="28"/>
        </w:rPr>
        <w:t>doméstica</w:t>
      </w:r>
      <w:r w:rsidR="00FB7143">
        <w:rPr>
          <w:rFonts w:ascii="Cambria" w:hAnsi="Cambria"/>
          <w:i/>
          <w:iCs/>
          <w:sz w:val="28"/>
          <w:szCs w:val="28"/>
        </w:rPr>
        <w:t>’</w:t>
      </w:r>
      <w:r w:rsidR="00B712A6" w:rsidRPr="00A95586">
        <w:rPr>
          <w:rFonts w:ascii="Cambria" w:hAnsi="Cambria"/>
          <w:i/>
          <w:iCs/>
          <w:sz w:val="28"/>
          <w:szCs w:val="28"/>
        </w:rPr>
        <w:t xml:space="preserve"> se conforme com a dimensão dos compromissos internacionais que, neste domínio, a República assumiu. No entanto, nenhuma destas exigências será satisfeita se se mantiver a atitude passiva de aceitação e receção de todas e quaisquer queixas que a atuação administrativa – na sua mais lata aceção – puder vir a desencadear. A disposição para o recebimento sem limites poderá ter feito sentido em 1974, quando ainda não tínhamos construído um edifício administrativo suficientemente munido de mecanismos internos de fiscalização e controlo e quando ainda não tínhamos confiado a entidades independentes a função de regulação de sectores públicos essenciais. Quase meio século depois já se não justifica esta disposição para o recebimento sem limites. Por isso, ao invés de tudo receber e a tudo responder – frequentemente dando atenção a problemas e questões que, pela sua dimensão e natureza, deveriam ser resolvidas pelas entidades fiscalizadoras de cada sector – a Provedoria terá que progressivamente ir selecionando os seus campos de intervenção, devolvendo responsabilidades às instâncias de controlo e fiscalização que em cada área sectorial existam.”</w:t>
      </w:r>
    </w:p>
    <w:p w14:paraId="4D0B918A" w14:textId="09CCD1AD" w:rsidR="00A77778" w:rsidRPr="00A95586" w:rsidRDefault="00A77778" w:rsidP="00A95586">
      <w:pPr>
        <w:rPr>
          <w:rFonts w:ascii="Cambria" w:hAnsi="Cambria"/>
          <w:sz w:val="28"/>
          <w:szCs w:val="28"/>
        </w:rPr>
      </w:pPr>
    </w:p>
    <w:p w14:paraId="4FDB2A1B" w14:textId="0D6B1757" w:rsidR="00A77778" w:rsidRPr="00A77778" w:rsidRDefault="00A77778" w:rsidP="00A777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A77778">
        <w:rPr>
          <w:rFonts w:ascii="Times New Roman" w:eastAsia="Times New Roman" w:hAnsi="Times New Roman" w:cs="Times New Roman"/>
          <w:noProof/>
          <w:sz w:val="24"/>
          <w:szCs w:val="24"/>
          <w:lang w:eastAsia="pt-PT"/>
        </w:rPr>
        <w:drawing>
          <wp:inline distT="0" distB="0" distL="0" distR="0" wp14:anchorId="31B41818" wp14:editId="6F96F613">
            <wp:extent cx="8251825" cy="25781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1825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B38E2" w14:textId="77777777" w:rsidR="00A77778" w:rsidRPr="00A77778" w:rsidRDefault="00A77778" w:rsidP="00A77778">
      <w:pPr>
        <w:shd w:val="clear" w:color="auto" w:fill="FFFFFF"/>
        <w:spacing w:after="384" w:line="240" w:lineRule="auto"/>
        <w:rPr>
          <w:rFonts w:ascii="PT Serif" w:eastAsia="Times New Roman" w:hAnsi="PT Serif" w:cs="Times New Roman"/>
          <w:color w:val="808080"/>
          <w:sz w:val="19"/>
          <w:szCs w:val="19"/>
          <w:lang w:eastAsia="pt-PT"/>
        </w:rPr>
      </w:pPr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Maria Lúcia Amaral, Provedora de Justiça</w:t>
      </w:r>
    </w:p>
    <w:p w14:paraId="4BF1FF3B" w14:textId="77777777" w:rsidR="00A77778" w:rsidRPr="00A77778" w:rsidRDefault="00A77778" w:rsidP="00A77778">
      <w:pPr>
        <w:shd w:val="clear" w:color="auto" w:fill="FFFFFF"/>
        <w:spacing w:after="384" w:line="240" w:lineRule="auto"/>
        <w:rPr>
          <w:rFonts w:ascii="PT Serif" w:eastAsia="Times New Roman" w:hAnsi="PT Serif" w:cs="Times New Roman"/>
          <w:color w:val="808080"/>
          <w:sz w:val="19"/>
          <w:szCs w:val="19"/>
          <w:lang w:eastAsia="pt-PT"/>
        </w:rPr>
      </w:pPr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Órgão do Estado independente criado em 1975, o </w:t>
      </w:r>
      <w:hyperlink r:id="rId18" w:history="1">
        <w:r w:rsidRPr="00A77778">
          <w:rPr>
            <w:rFonts w:ascii="inherit" w:eastAsia="Times New Roman" w:hAnsi="inherit" w:cs="Times New Roman"/>
            <w:b/>
            <w:bCs/>
            <w:color w:val="790000"/>
            <w:u w:val="single"/>
            <w:bdr w:val="none" w:sz="0" w:space="0" w:color="auto" w:frame="1"/>
            <w:lang w:eastAsia="pt-PT"/>
          </w:rPr>
          <w:t>Provedor de Justiça</w:t>
        </w:r>
      </w:hyperlink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 defende as pessoas que vejam os seus direitos fundamentais violados ou se sintam prejudicadas por atos ou omissões injustos ou ilegais da administração ou outros poderes públicos. Simultaneamente, é </w:t>
      </w:r>
      <w:hyperlink r:id="rId19" w:history="1">
        <w:r w:rsidRPr="00A77778">
          <w:rPr>
            <w:rFonts w:ascii="inherit" w:eastAsia="Times New Roman" w:hAnsi="inherit" w:cs="Times New Roman"/>
            <w:b/>
            <w:bCs/>
            <w:color w:val="790000"/>
            <w:u w:val="single"/>
            <w:bdr w:val="none" w:sz="0" w:space="0" w:color="auto" w:frame="1"/>
            <w:lang w:eastAsia="pt-PT"/>
          </w:rPr>
          <w:t>Instituição Nacional de Direitos Humanos</w:t>
        </w:r>
      </w:hyperlink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 e </w:t>
      </w:r>
      <w:hyperlink r:id="rId20" w:history="1">
        <w:r w:rsidRPr="00A77778">
          <w:rPr>
            <w:rFonts w:ascii="inherit" w:eastAsia="Times New Roman" w:hAnsi="inherit" w:cs="Times New Roman"/>
            <w:b/>
            <w:bCs/>
            <w:color w:val="790000"/>
            <w:u w:val="single"/>
            <w:bdr w:val="none" w:sz="0" w:space="0" w:color="auto" w:frame="1"/>
            <w:lang w:eastAsia="pt-PT"/>
          </w:rPr>
          <w:t>Mecanismo Nacional de Prevenção da Tortura</w:t>
        </w:r>
      </w:hyperlink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, devendo assegurar que Portugal cumpre as Convenções e os Protocolos das Nações Unidas assinados neste domínio. Presta um serviço gratuito e de acesso universal. As queixas podem ser apresentadas por carta, telefone, fax, correio eletrónico ou mediante o preenchimento de um </w:t>
      </w:r>
      <w:hyperlink r:id="rId21" w:history="1">
        <w:r w:rsidRPr="00A77778">
          <w:rPr>
            <w:rFonts w:ascii="inherit" w:eastAsia="Times New Roman" w:hAnsi="inherit" w:cs="Times New Roman"/>
            <w:b/>
            <w:bCs/>
            <w:color w:val="790000"/>
            <w:u w:val="single"/>
            <w:bdr w:val="none" w:sz="0" w:space="0" w:color="auto" w:frame="1"/>
            <w:lang w:eastAsia="pt-PT"/>
          </w:rPr>
          <w:t>formulário específico</w:t>
        </w:r>
      </w:hyperlink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.</w:t>
      </w:r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br/>
      </w:r>
      <w:hyperlink r:id="rId22" w:history="1">
        <w:r w:rsidRPr="00A77778">
          <w:rPr>
            <w:rFonts w:ascii="inherit" w:eastAsia="Times New Roman" w:hAnsi="inherit" w:cs="Times New Roman"/>
            <w:b/>
            <w:bCs/>
            <w:color w:val="790000"/>
            <w:u w:val="single"/>
            <w:bdr w:val="none" w:sz="0" w:space="0" w:color="auto" w:frame="1"/>
            <w:lang w:eastAsia="pt-PT"/>
          </w:rPr>
          <w:t>Maria Lúcia Amaral</w:t>
        </w:r>
      </w:hyperlink>
      <w:r w:rsidRPr="00A77778">
        <w:rPr>
          <w:rFonts w:ascii="inherit" w:eastAsia="Times New Roman" w:hAnsi="inherit" w:cs="Times New Roman"/>
          <w:b/>
          <w:bCs/>
          <w:color w:val="313335"/>
          <w:bdr w:val="none" w:sz="0" w:space="0" w:color="auto" w:frame="1"/>
          <w:lang w:eastAsia="pt-PT"/>
        </w:rPr>
        <w:t> é Provedora de Justiça desde novembro de 2017.</w:t>
      </w:r>
    </w:p>
    <w:p w14:paraId="7E087DEA" w14:textId="4DE1AE2A" w:rsidR="00A0115F" w:rsidRDefault="00A77778" w:rsidP="00A77778">
      <w:r w:rsidRPr="00A77778">
        <w:rPr>
          <w:rFonts w:ascii="inherit" w:eastAsia="Times New Roman" w:hAnsi="inherit" w:cs="Times New Roman"/>
          <w:color w:val="C7C5C5"/>
          <w:sz w:val="27"/>
          <w:szCs w:val="27"/>
          <w:bdr w:val="none" w:sz="0" w:space="0" w:color="auto" w:frame="1"/>
          <w:shd w:val="clear" w:color="auto" w:fill="FFFFFF"/>
          <w:lang w:eastAsia="pt-PT"/>
        </w:rPr>
        <w:br/>
      </w:r>
    </w:p>
    <w:sectPr w:rsidR="00A011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8CF8E" w14:textId="77777777" w:rsidR="00EA2ADE" w:rsidRDefault="00EA2ADE" w:rsidP="00CF54E1">
      <w:pPr>
        <w:spacing w:after="0" w:line="240" w:lineRule="auto"/>
      </w:pPr>
      <w:r>
        <w:separator/>
      </w:r>
    </w:p>
  </w:endnote>
  <w:endnote w:type="continuationSeparator" w:id="0">
    <w:p w14:paraId="13C8F822" w14:textId="77777777" w:rsidR="00EA2ADE" w:rsidRDefault="00EA2ADE" w:rsidP="00CF5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9388D" w14:textId="77777777" w:rsidR="00EA2ADE" w:rsidRDefault="00EA2ADE" w:rsidP="00CF54E1">
      <w:pPr>
        <w:spacing w:after="0" w:line="240" w:lineRule="auto"/>
      </w:pPr>
      <w:r>
        <w:separator/>
      </w:r>
    </w:p>
  </w:footnote>
  <w:footnote w:type="continuationSeparator" w:id="0">
    <w:p w14:paraId="3E4D65BA" w14:textId="77777777" w:rsidR="00EA2ADE" w:rsidRDefault="00EA2ADE" w:rsidP="00CF54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78"/>
    <w:rsid w:val="000113C3"/>
    <w:rsid w:val="00024F72"/>
    <w:rsid w:val="000334E8"/>
    <w:rsid w:val="00036464"/>
    <w:rsid w:val="00081FAD"/>
    <w:rsid w:val="000C348D"/>
    <w:rsid w:val="000D73A7"/>
    <w:rsid w:val="000E14B8"/>
    <w:rsid w:val="001564D5"/>
    <w:rsid w:val="001802DD"/>
    <w:rsid w:val="003418DE"/>
    <w:rsid w:val="0037030A"/>
    <w:rsid w:val="00370F09"/>
    <w:rsid w:val="00371423"/>
    <w:rsid w:val="003A7F2C"/>
    <w:rsid w:val="00452906"/>
    <w:rsid w:val="0045478F"/>
    <w:rsid w:val="0047157C"/>
    <w:rsid w:val="004A5EF2"/>
    <w:rsid w:val="004D07E4"/>
    <w:rsid w:val="004E68A8"/>
    <w:rsid w:val="00511FE2"/>
    <w:rsid w:val="00514C1B"/>
    <w:rsid w:val="00521301"/>
    <w:rsid w:val="0056333F"/>
    <w:rsid w:val="005A7A30"/>
    <w:rsid w:val="005B031C"/>
    <w:rsid w:val="005C2A40"/>
    <w:rsid w:val="006540E7"/>
    <w:rsid w:val="00656254"/>
    <w:rsid w:val="006842CB"/>
    <w:rsid w:val="006A722C"/>
    <w:rsid w:val="006B7180"/>
    <w:rsid w:val="00730AA9"/>
    <w:rsid w:val="0078511B"/>
    <w:rsid w:val="00790762"/>
    <w:rsid w:val="007D7D82"/>
    <w:rsid w:val="00833265"/>
    <w:rsid w:val="00854991"/>
    <w:rsid w:val="00872229"/>
    <w:rsid w:val="00877C51"/>
    <w:rsid w:val="008A3A6E"/>
    <w:rsid w:val="008F08BB"/>
    <w:rsid w:val="009248E0"/>
    <w:rsid w:val="0096549C"/>
    <w:rsid w:val="009878E4"/>
    <w:rsid w:val="009B11CF"/>
    <w:rsid w:val="009E621A"/>
    <w:rsid w:val="00A0115F"/>
    <w:rsid w:val="00A30770"/>
    <w:rsid w:val="00A33601"/>
    <w:rsid w:val="00A54D2D"/>
    <w:rsid w:val="00A5692D"/>
    <w:rsid w:val="00A77778"/>
    <w:rsid w:val="00A7793A"/>
    <w:rsid w:val="00A95586"/>
    <w:rsid w:val="00AA3A38"/>
    <w:rsid w:val="00AB4066"/>
    <w:rsid w:val="00AC1A75"/>
    <w:rsid w:val="00AF63A0"/>
    <w:rsid w:val="00B712A6"/>
    <w:rsid w:val="00BF4024"/>
    <w:rsid w:val="00C238A4"/>
    <w:rsid w:val="00C533BB"/>
    <w:rsid w:val="00CF54E1"/>
    <w:rsid w:val="00D10597"/>
    <w:rsid w:val="00D25D13"/>
    <w:rsid w:val="00D619DC"/>
    <w:rsid w:val="00DE6F2F"/>
    <w:rsid w:val="00E14A59"/>
    <w:rsid w:val="00E24D6E"/>
    <w:rsid w:val="00EA2ADE"/>
    <w:rsid w:val="00EB28D0"/>
    <w:rsid w:val="00EC76FB"/>
    <w:rsid w:val="00EE5F9C"/>
    <w:rsid w:val="00EF0EB0"/>
    <w:rsid w:val="00F05AA3"/>
    <w:rsid w:val="00F454ED"/>
    <w:rsid w:val="00FB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1978F"/>
  <w15:chartTrackingRefBased/>
  <w15:docId w15:val="{2333968A-0345-4513-BD20-D6A5CA29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ter"/>
    <w:uiPriority w:val="9"/>
    <w:qFormat/>
    <w:rsid w:val="00A777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arter">
    <w:name w:val="Título 3 Caráter"/>
    <w:basedOn w:val="Tipodeletrapredefinidodopargrafo"/>
    <w:link w:val="Ttulo3"/>
    <w:uiPriority w:val="9"/>
    <w:rsid w:val="00A77778"/>
    <w:rPr>
      <w:rFonts w:ascii="Times New Roman" w:eastAsia="Times New Roman" w:hAnsi="Times New Roman" w:cs="Times New Roman"/>
      <w:b/>
      <w:bCs/>
      <w:sz w:val="27"/>
      <w:szCs w:val="27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A77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A77778"/>
    <w:rPr>
      <w:color w:val="0000FF"/>
      <w:u w:val="single"/>
    </w:rPr>
  </w:style>
  <w:style w:type="character" w:styleId="nfase">
    <w:name w:val="Emphasis"/>
    <w:basedOn w:val="Tipodeletrapredefinidodopargrafo"/>
    <w:uiPriority w:val="20"/>
    <w:qFormat/>
    <w:rsid w:val="00A77778"/>
    <w:rPr>
      <w:i/>
      <w:iCs/>
    </w:rPr>
  </w:style>
  <w:style w:type="character" w:styleId="Forte">
    <w:name w:val="Strong"/>
    <w:basedOn w:val="Tipodeletrapredefinidodopargrafo"/>
    <w:uiPriority w:val="22"/>
    <w:qFormat/>
    <w:rsid w:val="00A77778"/>
    <w:rPr>
      <w:b/>
      <w:bCs/>
    </w:rPr>
  </w:style>
  <w:style w:type="paragraph" w:customStyle="1" w:styleId="has-small-font-size">
    <w:name w:val="has-small-font-size"/>
    <w:basedOn w:val="Normal"/>
    <w:rsid w:val="00A77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PargrafodaLista">
    <w:name w:val="List Paragraph"/>
    <w:basedOn w:val="Normal"/>
    <w:rsid w:val="00B712A6"/>
    <w:pPr>
      <w:suppressAutoHyphens/>
      <w:autoSpaceDN w:val="0"/>
      <w:spacing w:line="240" w:lineRule="auto"/>
      <w:ind w:left="720"/>
      <w:textAlignment w:val="baseline"/>
    </w:pPr>
    <w:rPr>
      <w:rFonts w:ascii="Calibri" w:eastAsia="Calibri" w:hAnsi="Calibri" w:cs="Times New Roman"/>
    </w:rPr>
  </w:style>
  <w:style w:type="paragraph" w:styleId="Textodenotaderodap">
    <w:name w:val="footnote text"/>
    <w:basedOn w:val="Normal"/>
    <w:link w:val="TextodenotaderodapCarter"/>
    <w:rsid w:val="00CF54E1"/>
    <w:pPr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CF54E1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rsid w:val="00CF54E1"/>
    <w:rPr>
      <w:position w:val="0"/>
      <w:vertAlign w:val="superscript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24F72"/>
    <w:rPr>
      <w:color w:val="605E5C"/>
      <w:shd w:val="clear" w:color="auto" w:fill="E1DFDD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A722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1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provedor-jus.pt/documentos/fiscalizacao-da-constitucionalidade-dos-artigos-10-o-n-o2-13-o-n-o4-e-14-o-n-o-1-da-lei-n-o-26-2020-de-21-de-julho/" TargetMode="External"/><Relationship Id="rId18" Type="http://schemas.openxmlformats.org/officeDocument/2006/relationships/hyperlink" Target="http://www.provedor-jus.pt/quem-somos/perguntas-frequente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rovedor-jus.pt/quem-somos/perguntas-frequentes/como-apresentar-queixa/" TargetMode="External"/><Relationship Id="rId7" Type="http://schemas.openxmlformats.org/officeDocument/2006/relationships/hyperlink" Target="https://www.provedor-jus.pt/quem-somos/perguntas-frequentes/" TargetMode="External"/><Relationship Id="rId12" Type="http://schemas.openxmlformats.org/officeDocument/2006/relationships/hyperlink" Target="https://www.provedor-jus.pt/recomendacoes-e-outras-decisoes/recomendacoes/?ano=2021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https://www.provedor-jus.pt/mecanismo-nacional-de-prevencao/o-provedor-de-justica-enquanto-mnp/" TargetMode="External"/><Relationship Id="rId20" Type="http://schemas.openxmlformats.org/officeDocument/2006/relationships/hyperlink" Target="http://www.provedor-jus.pt/mecanismo-nacional-de-prevencao/o-provedor-de-justica-enquanto-mnp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provedor-jus.pt/abono-de-familia-provedora-de-justica-alerta-para-atrasos-significativos-e-pede-celeridade-na-apreciacao-dos-requerimentos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provedor-jus.pt/provedoria-de-justica-publica-cadernos-da-pandemia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provedor-jus.pt/provedora-de-justica-recomenda-medidas-de-urgencia-para-acelerar-emissao-de-atestados-multiuso/" TargetMode="External"/><Relationship Id="rId19" Type="http://schemas.openxmlformats.org/officeDocument/2006/relationships/hyperlink" Target="http://www.provedor-jus.pt/instituicao-nacional-de-direitos-humanos/o-provedor-de-justica-enquanto-indh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provedor-jus.pt/documentos/fiscalizacao-constitucionalidade-normas-lei-eleitoral-autarquica/" TargetMode="External"/><Relationship Id="rId22" Type="http://schemas.openxmlformats.org/officeDocument/2006/relationships/hyperlink" Target="https://www.provedor-jus.pt/quem-somos/a-provedora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  <FIELD type="AdditionalFields" label="Idade_LCCD" source-type="AdditionalFields">
        <TAG><![CDATA[#NOVOREGISTO:CA:Idade_LCCD#]]></TAG>
        <VALUE><![CDATA[#NOVOREGISTO:CA:Idade_LCCD#]]></VALUE>
        <XPATH><![CDATA[/CARD/FIELDS/FIELD[FIELD='Idade_LCCD']/VALUE]]></XPATH>
      </FIELD>
      <FIELD type="AdditionalFields" label="Nome_Interes" source-type="AdditionalFields">
        <TAG><![CDATA[#NOVOREGISTO:CA:Nome_Interes#]]></TAG>
        <VALUE><![CDATA[#NOVOREGISTO:CA:Nome_Interes#]]></VALUE>
        <XPATH><![CDATA[/CARD/FIELDS/FIELD[FIELD='Nome_Interes']/VALUE]]></XPATH>
      </FIELD>
      <FIELD type="AdditionalFields" label="Sintese" source-type="AdditionalFields">
        <TAG><![CDATA[#NOVOREGISTO:CA:Sintese#]]></TAG>
        <VALUE><![CDATA[#NOVOREGISTO:CA:Sintese#]]></VALUE>
        <XPATH><![CDATA[/CARD/FIELDS/FIELD[FIELD='Sintese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  <FIELD type="AdditionalFields" label="Idade_LCCD" source-type="AdditionalFields">
        <TAG><![CDATA[#PRIMEIROREGISTO:CA:Idade_LCCD#]]></TAG>
        <VALUE><![CDATA[#PRIMEIROREGISTO:CA:Idade_LCCD#]]></VALUE>
        <XPATH><![CDATA[/CARD/FIELDS/FIELD[NAME='Idade_LCCD']/VALUE]]></XPATH>
      </FIELD>
      <FIELD type="AdditionalFields" label="Nome_Interes" source-type="AdditionalFields">
        <TAG><![CDATA[#PRIMEIROREGISTO:CA:Nome_Interes#]]></TAG>
        <VALUE><![CDATA[#PRIMEIROREGISTO:CA:Nome_Interes#]]></VALUE>
        <XPATH><![CDATA[/CARD/FIELDS/FIELD[NAME='Nome_Interes']/VALUE]]></XPATH>
      </FIELD>
      <FIELD type="AdditionalFields" label="Sintese" source-type="AdditionalFields">
        <TAG><![CDATA[#PRIMEIROREGISTO:CA:Sintese#]]></TAG>
        <VALUE><![CDATA[#PRIMEIROREGISTO:CA:Sintese#]]></VALUE>
        <XPATH><![CDATA[/CARD/FIELDS/FIELD[NAME='Sintese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  <FIELD type="AdditionalFields" label="Idade_LCCD" source-type="AdditionalFields">
        <TAG><![CDATA[#PRIMEIROPROCESSO:CA:Idade_LCCD#]]></TAG>
        <VALUE><![CDATA[#PRIMEIROPROCESSO:CA:Idade_LCCD#]]></VALUE>
        <XPATH><![CDATA[/CARD/FIELDS/FIELD[NAME='Idade_LCCD']/VALUE]]></XPATH>
      </FIELD>
      <FIELD type="AdditionalFields" label="Nome_Interes" source-type="AdditionalFields">
        <TAG><![CDATA[#PRIMEIROPROCESSO:CA:Nome_Interes#]]></TAG>
        <VALUE><![CDATA[#PRIMEIROPROCESSO:CA:Nome_Interes#]]></VALUE>
        <XPATH><![CDATA[/CARD/FIELDS/FIELD[NAME='Nome_Interes']/VALUE]]></XPATH>
      </FIELD>
      <FIELD type="AdditionalFields" label="Sintese" source-type="AdditionalFields">
        <TAG><![CDATA[#PRIMEIROPROCESSO:CA:Sintese#]]></TAG>
        <VALUE><![CDATA[#PRIMEIROPROCESSO:CA:Sintese#]]></VALUE>
        <XPATH><![CDATA[/CARD/FIELDS/FIELD[NAME='Sintese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  <FIELD type="AdditionalFields" label="Idade_LCCD" source-type="AdditionalFields">
        <TAG><![CDATA[#REGISTO:CA:Idade_LCCD#]]></TAG>
        <VALUE><![CDATA[#REGISTO:CA:Idade_LCCD#]]></VALUE>
        <XPATH><![CDATA[/CARD/FIELDS/FIELD[NAME='Idade_LCCD']/VALUE]]></XPATH>
      </FIELD>
      <FIELD type="AdditionalFields" label="Nome_Interes" source-type="AdditionalFields">
        <TAG><![CDATA[#REGISTO:CA:Nome_Interes#]]></TAG>
        <VALUE><![CDATA[#REGISTO:CA:Nome_Interes#]]></VALUE>
        <XPATH><![CDATA[/CARD/FIELDS/FIELD[NAME='Nome_Interes']/VALUE]]></XPATH>
      </FIELD>
      <FIELD type="AdditionalFields" label="Sintese" source-type="AdditionalFields">
        <TAG><![CDATA[#REGISTO:CA:Sintese#]]></TAG>
        <VALUE><![CDATA[#REGISTO:CA:Sintese#]]></VALUE>
        <XPATH><![CDATA[/CARD/FIELDS/FIELD[NAME='Sintese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  <FIELD type="AdditionalFields" label="Idade_LCCD" source-type="AdditionalFields">
        <TAG><![CDATA[#CONTEXTPROCESS:CA:Idade_LCCD#]]></TAG>
        <VALUE><![CDATA[Idade_LCCD]]></VALUE>
        <XPATH><![CDATA[/PROCESS/FIELDS/FIELD[NAME='Idade_LCCD']/VALUE]]></XPATH>
      </FIELD>
      <FIELD type="AdditionalFields" label="Nome_Interes" source-type="AdditionalFields">
        <TAG><![CDATA[#CONTEXTPROCESS:CA:Nome_Interes#]]></TAG>
        <VALUE><![CDATA[Nome_Interes]]></VALUE>
        <XPATH><![CDATA[/PROCESS/FIELDS/FIELD[NAME='Nome_Interes']/VALUE]]></XPATH>
      </FIELD>
      <FIELD type="AdditionalFields" label="Sintese" source-type="AdditionalFields">
        <TAG><![CDATA[#CONTEXTPROCESS:CA:Sintese#]]></TAG>
        <VALUE><![CDATA[Sintese]]></VALUE>
        <XPATH><![CDATA[/PROCESS/FIELDS/FIELD[NAME='Sintese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97379D3C-A55E-4551-BEA1-B2125101DC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1544</Words>
  <Characters>8338</Characters>
  <Application>Microsoft Office Word</Application>
  <DocSecurity>0</DocSecurity>
  <Lines>69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Cabeçalhos</vt:lpstr>
      </vt:variant>
      <vt:variant>
        <vt:i4>2</vt:i4>
      </vt:variant>
    </vt:vector>
  </HeadingPairs>
  <TitlesOfParts>
    <vt:vector size="3" baseType="lpstr">
      <vt:lpstr/>
      <vt:lpstr>        Relatório 2021: Processos instruídos sobem 6% para novo máximo. Proteção Social </vt:lpstr>
      <vt:lpstr>        </vt:lpstr>
    </vt:vector>
  </TitlesOfParts>
  <Company/>
  <LinksUpToDate>false</LinksUpToDate>
  <CharactersWithSpaces>9863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Gaspar</dc:creator>
  <cp:keywords/>
  <dc:description/>
  <cp:lastModifiedBy>Eva Gaspar</cp:lastModifiedBy>
  <cp:revision>9</cp:revision>
  <cp:lastPrinted>2022-06-30T15:12:00Z</cp:lastPrinted>
  <dcterms:created xsi:type="dcterms:W3CDTF">2022-06-30T14:59:00Z</dcterms:created>
  <dcterms:modified xsi:type="dcterms:W3CDTF">2022-06-30T16:05:00Z</dcterms:modified>
</cp:coreProperties>
</file>